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49" w:rsidRDefault="00D37C49" w:rsidP="00D37C49">
      <w:pPr>
        <w:jc w:val="center"/>
        <w:rPr>
          <w:b/>
          <w:bCs/>
          <w:color w:val="auto"/>
          <w:sz w:val="44"/>
          <w:szCs w:val="44"/>
          <w:u w:val="single"/>
          <w:lang w:eastAsia="en-US"/>
        </w:rPr>
      </w:pPr>
      <w:r>
        <w:rPr>
          <w:rFonts w:hint="cs"/>
          <w:b/>
          <w:bCs/>
          <w:color w:val="auto"/>
          <w:sz w:val="44"/>
          <w:szCs w:val="44"/>
          <w:u w:val="single"/>
          <w:rtl/>
          <w:lang w:eastAsia="en-US"/>
        </w:rPr>
        <w:t>מודעה</w:t>
      </w:r>
    </w:p>
    <w:p w:rsidR="00D37C49" w:rsidRDefault="00D37C49" w:rsidP="00D37C49">
      <w:pPr>
        <w:overflowPunct w:val="0"/>
        <w:autoSpaceDE w:val="0"/>
        <w:autoSpaceDN w:val="0"/>
        <w:bidi w:val="0"/>
        <w:adjustRightInd w:val="0"/>
        <w:spacing w:line="240" w:lineRule="auto"/>
        <w:textAlignment w:val="baseline"/>
        <w:rPr>
          <w:b/>
          <w:bCs/>
          <w:color w:val="auto"/>
          <w:sz w:val="44"/>
          <w:szCs w:val="44"/>
          <w:u w:val="single"/>
          <w:lang w:eastAsia="en-US"/>
        </w:rPr>
      </w:pPr>
    </w:p>
    <w:p w:rsidR="00D37C49" w:rsidRDefault="00D37C49" w:rsidP="00D37C49">
      <w:pPr>
        <w:overflowPunct w:val="0"/>
        <w:autoSpaceDE w:val="0"/>
        <w:autoSpaceDN w:val="0"/>
        <w:bidi w:val="0"/>
        <w:adjustRightInd w:val="0"/>
        <w:spacing w:line="240" w:lineRule="auto"/>
        <w:textAlignment w:val="baseline"/>
        <w:rPr>
          <w:b/>
          <w:bCs/>
          <w:color w:val="auto"/>
          <w:sz w:val="24"/>
          <w:lang w:eastAsia="en-US"/>
        </w:rPr>
      </w:pPr>
    </w:p>
    <w:p w:rsidR="00D37C49" w:rsidRDefault="00D37C49" w:rsidP="00D37C49">
      <w:pPr>
        <w:overflowPunct w:val="0"/>
        <w:autoSpaceDE w:val="0"/>
        <w:autoSpaceDN w:val="0"/>
        <w:adjustRightInd w:val="0"/>
        <w:spacing w:line="240" w:lineRule="auto"/>
        <w:ind w:left="680" w:firstLine="172"/>
        <w:jc w:val="center"/>
        <w:textAlignment w:val="baseline"/>
        <w:rPr>
          <w:b/>
          <w:bCs/>
          <w:color w:val="auto"/>
          <w:sz w:val="26"/>
          <w:szCs w:val="26"/>
          <w:rtl/>
          <w:lang w:eastAsia="en-US"/>
        </w:rPr>
      </w:pPr>
      <w:r>
        <w:rPr>
          <w:rFonts w:hint="cs"/>
          <w:b/>
          <w:bCs/>
          <w:color w:val="auto"/>
          <w:sz w:val="26"/>
          <w:szCs w:val="26"/>
          <w:rtl/>
          <w:lang w:eastAsia="en-US"/>
        </w:rPr>
        <w:t>מכרז פומבי מס' 104/2019 לביצוע עבודות בינוי ומערכות לצורך בניית מיון חדש</w:t>
      </w:r>
    </w:p>
    <w:p w:rsidR="00D37C49" w:rsidRDefault="00D37C49" w:rsidP="00D37C49">
      <w:pPr>
        <w:overflowPunct w:val="0"/>
        <w:autoSpaceDE w:val="0"/>
        <w:autoSpaceDN w:val="0"/>
        <w:bidi w:val="0"/>
        <w:adjustRightInd w:val="0"/>
        <w:spacing w:line="240" w:lineRule="auto"/>
        <w:textAlignment w:val="baseline"/>
        <w:rPr>
          <w:b/>
          <w:bCs/>
          <w:color w:val="FF0000"/>
          <w:sz w:val="24"/>
          <w:rtl/>
          <w:lang w:eastAsia="en-US"/>
        </w:rPr>
      </w:pPr>
      <w:r>
        <w:rPr>
          <w:rFonts w:hint="cs"/>
          <w:b/>
          <w:bCs/>
          <w:color w:val="FF0000"/>
          <w:sz w:val="24"/>
          <w:rtl/>
          <w:lang w:eastAsia="en-US"/>
        </w:rPr>
        <w:t xml:space="preserve"> </w:t>
      </w:r>
    </w:p>
    <w:p w:rsidR="00D37C49" w:rsidRDefault="00D37C49" w:rsidP="00D37C49">
      <w:pPr>
        <w:overflowPunct w:val="0"/>
        <w:autoSpaceDE w:val="0"/>
        <w:autoSpaceDN w:val="0"/>
        <w:adjustRightInd w:val="0"/>
        <w:spacing w:line="240" w:lineRule="auto"/>
        <w:ind w:left="720" w:hanging="720"/>
        <w:textAlignment w:val="baseline"/>
        <w:rPr>
          <w:color w:val="auto"/>
          <w:sz w:val="24"/>
          <w:lang w:eastAsia="en-US"/>
        </w:rPr>
      </w:pP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1.</w:t>
      </w:r>
      <w:r>
        <w:rPr>
          <w:rFonts w:hint="cs"/>
          <w:color w:val="auto"/>
          <w:sz w:val="24"/>
          <w:rtl/>
          <w:lang w:eastAsia="en-US"/>
        </w:rPr>
        <w:tab/>
        <w:t>תאגיד הבריאות על יד המרכז הרפואי תל אביב (</w:t>
      </w:r>
      <w:proofErr w:type="spellStart"/>
      <w:r>
        <w:rPr>
          <w:rFonts w:hint="cs"/>
          <w:color w:val="auto"/>
          <w:sz w:val="24"/>
          <w:rtl/>
          <w:lang w:eastAsia="en-US"/>
        </w:rPr>
        <w:t>ע"ר</w:t>
      </w:r>
      <w:proofErr w:type="spellEnd"/>
      <w:r>
        <w:rPr>
          <w:rFonts w:hint="cs"/>
          <w:color w:val="auto"/>
          <w:sz w:val="24"/>
          <w:rtl/>
          <w:lang w:eastAsia="en-US"/>
        </w:rPr>
        <w:t xml:space="preserve">) (להלן: תאגיד הבריאות) מבקש לבצע </w:t>
      </w:r>
      <w:r>
        <w:rPr>
          <w:rFonts w:hint="cs"/>
          <w:color w:val="auto"/>
          <w:sz w:val="26"/>
          <w:szCs w:val="26"/>
          <w:rtl/>
          <w:lang w:eastAsia="en-US"/>
        </w:rPr>
        <w:t xml:space="preserve">עבודות בינוי ומערכות לצורך בניית מיון חדש במרכז הרפואי תל אביב ע"ש </w:t>
      </w:r>
      <w:proofErr w:type="spellStart"/>
      <w:r>
        <w:rPr>
          <w:rFonts w:hint="cs"/>
          <w:color w:val="auto"/>
          <w:sz w:val="26"/>
          <w:szCs w:val="26"/>
          <w:rtl/>
          <w:lang w:eastAsia="en-US"/>
        </w:rPr>
        <w:t>סוראסקי</w:t>
      </w:r>
      <w:proofErr w:type="spellEnd"/>
      <w:r>
        <w:rPr>
          <w:rFonts w:hint="cs"/>
          <w:color w:val="auto"/>
          <w:sz w:val="26"/>
          <w:szCs w:val="26"/>
          <w:rtl/>
          <w:lang w:eastAsia="en-US"/>
        </w:rPr>
        <w:t xml:space="preserve"> </w:t>
      </w:r>
      <w:r>
        <w:rPr>
          <w:rFonts w:hint="cs"/>
          <w:color w:val="auto"/>
          <w:sz w:val="24"/>
          <w:rtl/>
          <w:lang w:eastAsia="en-US"/>
        </w:rPr>
        <w:t xml:space="preserve">  (להלן – "העבודות"), וזאת בהתאם לתנאים ולדרישות המפורטים במסמכי המכרז.</w:t>
      </w: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2.</w:t>
      </w:r>
      <w:r>
        <w:rPr>
          <w:rFonts w:hint="cs"/>
          <w:color w:val="auto"/>
          <w:sz w:val="24"/>
          <w:rtl/>
          <w:lang w:eastAsia="en-US"/>
        </w:rPr>
        <w:tab/>
        <w:t xml:space="preserve">את מסמכי המכרז ניתן לקבל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w:t>
      </w:r>
      <w:r>
        <w:rPr>
          <w:rFonts w:hint="cs"/>
          <w:color w:val="auto"/>
          <w:sz w:val="24"/>
          <w:rtl/>
          <w:lang w:eastAsia="en-US"/>
        </w:rPr>
        <w:t>בימים א'-ה' בשעות 08:00 עד 14:00, החל מיום</w:t>
      </w:r>
      <w:r>
        <w:rPr>
          <w:rFonts w:hint="cs"/>
          <w:color w:val="auto"/>
          <w:sz w:val="24"/>
          <w:rtl/>
          <w:lang w:eastAsia="en-US"/>
        </w:rPr>
        <w:softHyphen/>
      </w:r>
      <w:r>
        <w:rPr>
          <w:rFonts w:hint="cs"/>
          <w:color w:val="auto"/>
          <w:sz w:val="24"/>
          <w:rtl/>
          <w:lang w:eastAsia="en-US"/>
        </w:rPr>
        <w:softHyphen/>
      </w:r>
      <w:r>
        <w:rPr>
          <w:rFonts w:hint="cs"/>
          <w:color w:val="auto"/>
          <w:sz w:val="24"/>
          <w:rtl/>
          <w:lang w:eastAsia="en-US"/>
        </w:rPr>
        <w:softHyphen/>
        <w:t xml:space="preserve"> 17.01.2019 ועד יום 31.01.2019. </w:t>
      </w:r>
    </w:p>
    <w:p w:rsidR="00D37C49" w:rsidRDefault="00D37C49" w:rsidP="00D37C49">
      <w:pPr>
        <w:overflowPunct w:val="0"/>
        <w:autoSpaceDE w:val="0"/>
        <w:autoSpaceDN w:val="0"/>
        <w:adjustRightInd w:val="0"/>
        <w:spacing w:line="240" w:lineRule="auto"/>
        <w:ind w:left="720" w:hanging="720"/>
        <w:textAlignment w:val="baseline"/>
        <w:rPr>
          <w:color w:val="auto"/>
          <w:sz w:val="24"/>
          <w:lang w:eastAsia="en-US"/>
        </w:rPr>
      </w:pPr>
    </w:p>
    <w:p w:rsidR="00D37C49" w:rsidRDefault="00D37C49" w:rsidP="00D37C49">
      <w:pPr>
        <w:overflowPunct w:val="0"/>
        <w:autoSpaceDE w:val="0"/>
        <w:autoSpaceDN w:val="0"/>
        <w:adjustRightInd w:val="0"/>
        <w:spacing w:line="240" w:lineRule="auto"/>
        <w:ind w:left="720" w:hanging="720"/>
        <w:textAlignment w:val="baseline"/>
        <w:rPr>
          <w:rFonts w:ascii="David" w:hAnsi="David"/>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 ממועד צו התחלת עבודה 48 חודשים -  לפי לו"ז שיקבע ע"י מנהל הפרויקט,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בהתאם ובכפוף לתנאים כמפורט במסמכי המכרז. </w:t>
      </w: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p>
    <w:p w:rsidR="00D37C49" w:rsidRDefault="00D37C49" w:rsidP="00D37C49">
      <w:pPr>
        <w:overflowPunct w:val="0"/>
        <w:autoSpaceDE w:val="0"/>
        <w:autoSpaceDN w:val="0"/>
        <w:adjustRightInd w:val="0"/>
        <w:spacing w:line="240" w:lineRule="auto"/>
        <w:ind w:left="720" w:hanging="720"/>
        <w:textAlignment w:val="baseline"/>
        <w:rPr>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22.01.2019 בשעה 10:00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תאגיד הבריאות.  </w:t>
      </w: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(תנאי סף): </w:t>
      </w: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p>
    <w:p w:rsidR="00D37C49" w:rsidRDefault="00D37C49" w:rsidP="00D37C49">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המציע רשום אצל רשם הקבלנים בסיווג 100 ג' 5 ומעלה.</w:t>
      </w:r>
    </w:p>
    <w:p w:rsidR="00D37C49" w:rsidRDefault="00D37C49" w:rsidP="00D37C49">
      <w:pPr>
        <w:spacing w:line="240" w:lineRule="auto"/>
        <w:ind w:right="1080"/>
        <w:rPr>
          <w:color w:val="auto"/>
          <w:sz w:val="20"/>
          <w:lang w:eastAsia="en-US"/>
        </w:rPr>
      </w:pPr>
    </w:p>
    <w:p w:rsidR="00D37C49" w:rsidRDefault="00D37C49" w:rsidP="00D37C49">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 xml:space="preserve">המציע ביצע והשלים ב- 7 השנים האחרונות </w:t>
      </w:r>
      <w:proofErr w:type="spellStart"/>
      <w:r>
        <w:rPr>
          <w:rFonts w:hint="cs"/>
          <w:color w:val="auto"/>
          <w:sz w:val="20"/>
          <w:rtl/>
          <w:lang w:eastAsia="en-US"/>
        </w:rPr>
        <w:t>פרוייקט</w:t>
      </w:r>
      <w:proofErr w:type="spellEnd"/>
      <w:r>
        <w:rPr>
          <w:rFonts w:hint="cs"/>
          <w:color w:val="auto"/>
          <w:sz w:val="20"/>
          <w:rtl/>
          <w:lang w:eastAsia="en-US"/>
        </w:rPr>
        <w:t xml:space="preserve"> אחד לפחות באתרים רפואיים מורכבים או מעבדות רפואיות , אשר מורכבותו הטכנולוגית דומה לאלו של הפרויקט  ועלותו הכספית לפחות 75 מילון ₪ .</w:t>
      </w:r>
    </w:p>
    <w:p w:rsidR="00D37C49" w:rsidRDefault="00D37C49" w:rsidP="00D37C49">
      <w:pPr>
        <w:spacing w:line="240" w:lineRule="auto"/>
        <w:ind w:left="1080"/>
        <w:rPr>
          <w:color w:val="auto"/>
          <w:sz w:val="20"/>
          <w:rtl/>
          <w:lang w:eastAsia="en-US"/>
        </w:rPr>
      </w:pPr>
    </w:p>
    <w:p w:rsidR="00D37C49" w:rsidRDefault="00D37C49" w:rsidP="00D37C49">
      <w:pPr>
        <w:spacing w:line="240" w:lineRule="auto"/>
        <w:ind w:left="1080"/>
        <w:rPr>
          <w:color w:val="auto"/>
          <w:sz w:val="20"/>
          <w:rtl/>
          <w:lang w:eastAsia="en-US"/>
        </w:rPr>
      </w:pPr>
      <w:r>
        <w:rPr>
          <w:rFonts w:hint="cs"/>
          <w:color w:val="auto"/>
          <w:sz w:val="20"/>
          <w:rtl/>
          <w:lang w:eastAsia="en-US"/>
        </w:rPr>
        <w:t>לחלופין :</w:t>
      </w:r>
    </w:p>
    <w:p w:rsidR="00D37C49" w:rsidRDefault="00D37C49" w:rsidP="00D37C49">
      <w:pPr>
        <w:spacing w:line="240" w:lineRule="auto"/>
        <w:ind w:left="1080"/>
        <w:rPr>
          <w:color w:val="auto"/>
          <w:sz w:val="20"/>
          <w:rtl/>
          <w:lang w:eastAsia="en-US"/>
        </w:rPr>
      </w:pPr>
    </w:p>
    <w:p w:rsidR="00D37C49" w:rsidRDefault="00D37C49" w:rsidP="00D37C49">
      <w:pPr>
        <w:spacing w:line="240" w:lineRule="auto"/>
        <w:ind w:left="1080"/>
        <w:rPr>
          <w:color w:val="auto"/>
          <w:sz w:val="20"/>
          <w:lang w:eastAsia="en-US"/>
        </w:rPr>
      </w:pPr>
      <w:r>
        <w:rPr>
          <w:rFonts w:hint="cs"/>
          <w:color w:val="auto"/>
          <w:sz w:val="20"/>
          <w:rtl/>
          <w:lang w:eastAsia="en-US"/>
        </w:rPr>
        <w:t xml:space="preserve">ביצע </w:t>
      </w:r>
      <w:proofErr w:type="spellStart"/>
      <w:r>
        <w:rPr>
          <w:rFonts w:hint="cs"/>
          <w:color w:val="auto"/>
          <w:sz w:val="20"/>
          <w:rtl/>
          <w:lang w:eastAsia="en-US"/>
        </w:rPr>
        <w:t>והישלים</w:t>
      </w:r>
      <w:proofErr w:type="spellEnd"/>
      <w:r>
        <w:rPr>
          <w:rFonts w:hint="cs"/>
          <w:color w:val="auto"/>
          <w:sz w:val="20"/>
          <w:rtl/>
          <w:lang w:eastAsia="en-US"/>
        </w:rPr>
        <w:t xml:space="preserve"> ב- 7 השנים האחרונות שני </w:t>
      </w:r>
      <w:proofErr w:type="spellStart"/>
      <w:r>
        <w:rPr>
          <w:rFonts w:hint="cs"/>
          <w:color w:val="auto"/>
          <w:sz w:val="20"/>
          <w:rtl/>
          <w:lang w:eastAsia="en-US"/>
        </w:rPr>
        <w:t>פרוייקטים</w:t>
      </w:r>
      <w:proofErr w:type="spellEnd"/>
      <w:r>
        <w:rPr>
          <w:rFonts w:hint="cs"/>
          <w:color w:val="auto"/>
          <w:sz w:val="20"/>
          <w:rtl/>
          <w:lang w:eastAsia="en-US"/>
        </w:rPr>
        <w:t xml:space="preserve"> באתרים רפואיים מורכבים או מעבדות רפואיות , אשר מורכבותם הטכנולוגית דומה לאלו של הפרויקט נשוא המכרז והעלות הכספית, של כל אחד מהם, היא לפחות 40 מיליון ₪ . </w:t>
      </w:r>
    </w:p>
    <w:p w:rsidR="00D37C49" w:rsidRDefault="00D37C49" w:rsidP="00D37C49">
      <w:pPr>
        <w:spacing w:line="240" w:lineRule="auto"/>
        <w:ind w:left="1080"/>
        <w:rPr>
          <w:color w:val="auto"/>
          <w:sz w:val="20"/>
          <w:rtl/>
          <w:lang w:eastAsia="en-US"/>
        </w:rPr>
      </w:pPr>
    </w:p>
    <w:p w:rsidR="00D37C49" w:rsidRDefault="00D37C49" w:rsidP="00D37C49">
      <w:pPr>
        <w:spacing w:line="240" w:lineRule="auto"/>
        <w:ind w:left="1080" w:right="1080"/>
        <w:rPr>
          <w:color w:val="auto"/>
          <w:sz w:val="20"/>
          <w:rtl/>
          <w:lang w:eastAsia="en-US"/>
        </w:rPr>
      </w:pPr>
    </w:p>
    <w:p w:rsidR="00D37C49" w:rsidRDefault="00D37C49" w:rsidP="00D37C49">
      <w:pPr>
        <w:spacing w:line="240" w:lineRule="auto"/>
        <w:ind w:left="1080"/>
        <w:rPr>
          <w:color w:val="auto"/>
          <w:sz w:val="20"/>
          <w:rtl/>
          <w:lang w:eastAsia="en-US"/>
        </w:rPr>
      </w:pPr>
      <w:r>
        <w:rPr>
          <w:rFonts w:hint="cs"/>
          <w:color w:val="auto"/>
          <w:sz w:val="20"/>
          <w:rtl/>
          <w:lang w:eastAsia="en-US"/>
        </w:rPr>
        <w:t>למרות האמור לעיל רשאי המזמין אך לא חייב לראות בעבודות אשר עד למועד האחרון להגשת ההצעות ועל פי החשבונות המאושרים, הושלם בהן חלק אשר היקפו הכספי יותר מ     % 75 מסה"כ מחיר הפרויקט שיוצע על ידי המציע, כעבודות שהושלמו לצורך סעיף זה.</w:t>
      </w:r>
    </w:p>
    <w:p w:rsidR="00D37C49" w:rsidRDefault="00D37C49" w:rsidP="00D37C49">
      <w:pPr>
        <w:spacing w:line="240" w:lineRule="auto"/>
        <w:ind w:left="1080" w:right="1080"/>
        <w:rPr>
          <w:color w:val="auto"/>
          <w:sz w:val="20"/>
          <w:rtl/>
          <w:lang w:eastAsia="en-US"/>
        </w:rPr>
      </w:pPr>
    </w:p>
    <w:p w:rsidR="00D37C49" w:rsidRDefault="00D37C49" w:rsidP="00D37C49">
      <w:pPr>
        <w:spacing w:line="240" w:lineRule="auto"/>
        <w:ind w:left="1080"/>
        <w:rPr>
          <w:color w:val="auto"/>
          <w:sz w:val="20"/>
          <w:rtl/>
          <w:lang w:eastAsia="en-US"/>
        </w:rPr>
      </w:pPr>
      <w:r>
        <w:rPr>
          <w:rFonts w:hint="cs"/>
          <w:color w:val="auto"/>
          <w:sz w:val="20"/>
          <w:rtl/>
          <w:lang w:eastAsia="en-US"/>
        </w:rPr>
        <w:t xml:space="preserve">לעניין סעיף זה "אתר רפואי מורכב" – הכולל לפחות 600 מיטות. "מורכבות טכנולוגית דומה" – מבלי לגרוע מההגדרה, </w:t>
      </w:r>
      <w:proofErr w:type="spellStart"/>
      <w:r>
        <w:rPr>
          <w:rFonts w:hint="cs"/>
          <w:color w:val="auto"/>
          <w:sz w:val="20"/>
          <w:rtl/>
          <w:lang w:eastAsia="en-US"/>
        </w:rPr>
        <w:t>פרוייקט</w:t>
      </w:r>
      <w:proofErr w:type="spellEnd"/>
      <w:r>
        <w:rPr>
          <w:rFonts w:hint="cs"/>
          <w:color w:val="auto"/>
          <w:sz w:val="20"/>
          <w:rtl/>
          <w:lang w:eastAsia="en-US"/>
        </w:rPr>
        <w:t xml:space="preserve"> הכולל לפחות הקמת חדרי ניתוח ו/או מיונים ו/או מעבדות רפואיות ו/או חדרים נקיים ו/או פעילות אחרת שנקבע על ידי ועדת המכרזים לפי שיקול דעתה שהיא בעלת מורכבות טכנולוגית דומה.  </w:t>
      </w:r>
    </w:p>
    <w:p w:rsidR="00D37C49" w:rsidRDefault="00D37C49" w:rsidP="00D37C49">
      <w:pPr>
        <w:spacing w:line="240" w:lineRule="auto"/>
        <w:ind w:left="1080" w:right="1080"/>
        <w:rPr>
          <w:color w:val="auto"/>
          <w:sz w:val="20"/>
          <w:rtl/>
          <w:lang w:eastAsia="en-US"/>
        </w:rPr>
      </w:pPr>
    </w:p>
    <w:p w:rsidR="00D37C49" w:rsidRDefault="00D37C49" w:rsidP="00D37C49">
      <w:pPr>
        <w:spacing w:line="240" w:lineRule="auto"/>
        <w:ind w:left="1080" w:right="1080"/>
        <w:rPr>
          <w:color w:val="auto"/>
          <w:sz w:val="20"/>
          <w:rtl/>
          <w:lang w:eastAsia="en-US"/>
        </w:rPr>
      </w:pPr>
    </w:p>
    <w:p w:rsidR="00D37C49" w:rsidRDefault="00D37C49" w:rsidP="00D37C49">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המציע מעסיק מנהל עבודה בעל רישיון לפחות שעבר הדרכה לתפקיד נאמן בטיחות והינו בעל ניסיון מוכח בניהול קודם של לפחות 2 פרויקטים אשר כללו פרויקטים לפי סעיף 5.2  .</w:t>
      </w:r>
    </w:p>
    <w:p w:rsidR="00D37C49" w:rsidRDefault="00D37C49" w:rsidP="00D37C49">
      <w:pPr>
        <w:spacing w:line="240" w:lineRule="auto"/>
        <w:ind w:left="1080" w:right="1080"/>
        <w:rPr>
          <w:color w:val="auto"/>
          <w:sz w:val="20"/>
          <w:lang w:eastAsia="en-US"/>
        </w:rPr>
      </w:pPr>
    </w:p>
    <w:p w:rsidR="00D37C49" w:rsidRDefault="00D37C49" w:rsidP="00D37C49">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lastRenderedPageBreak/>
        <w:t xml:space="preserve">המציע מעסיק, כשכיר או כנותן שירות, ממונה בטיחות בעבודה בעל הסמכה תקפה מהמוסד לבטיחות וגהות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של אשר כללו פרויקטים לפי סעיף 5.2   . </w:t>
      </w:r>
    </w:p>
    <w:p w:rsidR="00D37C49" w:rsidRDefault="00D37C49" w:rsidP="00D37C49">
      <w:pPr>
        <w:spacing w:line="240" w:lineRule="auto"/>
        <w:ind w:left="1080" w:right="1080"/>
        <w:rPr>
          <w:color w:val="auto"/>
          <w:sz w:val="20"/>
          <w:lang w:eastAsia="en-US"/>
        </w:rPr>
      </w:pPr>
    </w:p>
    <w:p w:rsidR="00D37C49" w:rsidRDefault="00D37C49" w:rsidP="00D37C49">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D37C49" w:rsidRDefault="00D37C49" w:rsidP="00D37C49">
      <w:pPr>
        <w:spacing w:line="240" w:lineRule="auto"/>
        <w:ind w:left="1080" w:right="1080"/>
        <w:rPr>
          <w:color w:val="auto"/>
          <w:sz w:val="20"/>
          <w:rtl/>
          <w:lang w:eastAsia="en-US"/>
        </w:rPr>
      </w:pPr>
    </w:p>
    <w:p w:rsidR="00D37C49" w:rsidRDefault="00D37C49" w:rsidP="00D37C49">
      <w:pPr>
        <w:numPr>
          <w:ilvl w:val="1"/>
          <w:numId w:val="1"/>
        </w:numPr>
        <w:overflowPunct w:val="0"/>
        <w:autoSpaceDE w:val="0"/>
        <w:autoSpaceDN w:val="0"/>
        <w:adjustRightInd w:val="0"/>
        <w:spacing w:line="240" w:lineRule="auto"/>
        <w:ind w:left="1080"/>
        <w:jc w:val="left"/>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D37C49" w:rsidRDefault="00D37C49" w:rsidP="00D37C49">
      <w:pPr>
        <w:spacing w:line="240" w:lineRule="auto"/>
        <w:ind w:left="1080" w:right="1080"/>
        <w:rPr>
          <w:color w:val="auto"/>
          <w:sz w:val="20"/>
          <w:rtl/>
          <w:lang w:eastAsia="en-US"/>
        </w:rPr>
      </w:pPr>
    </w:p>
    <w:p w:rsidR="00D37C49" w:rsidRDefault="00D37C49" w:rsidP="00D37C49">
      <w:pPr>
        <w:spacing w:line="240" w:lineRule="auto"/>
        <w:ind w:left="1080" w:right="1080"/>
        <w:rPr>
          <w:color w:val="auto"/>
          <w:sz w:val="20"/>
          <w:rtl/>
          <w:lang w:eastAsia="en-US"/>
        </w:rPr>
      </w:pPr>
    </w:p>
    <w:p w:rsidR="00D37C49" w:rsidRDefault="00D37C49" w:rsidP="00D37C49">
      <w:pPr>
        <w:overflowPunct w:val="0"/>
        <w:autoSpaceDE w:val="0"/>
        <w:autoSpaceDN w:val="0"/>
        <w:adjustRightInd w:val="0"/>
        <w:spacing w:line="240" w:lineRule="auto"/>
        <w:ind w:left="1440" w:hanging="720"/>
        <w:textAlignment w:val="baseline"/>
        <w:rPr>
          <w:color w:val="auto"/>
          <w:sz w:val="20"/>
          <w:rtl/>
          <w:lang w:eastAsia="en-US"/>
        </w:rPr>
      </w:pP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4,000,000 ש"ח בנוסח כמפורט בנספח במסמכי המכרז. הערבות תהיה צמודה למדד תשומות הבניה ותהיה בתוקף 90 יום מהמועד האחרון להגשת ההצעות. לפי דרישת תאגיד הבריאות יוארך תוקף הערבות הבנקאית/חב' ביטוח לתקופה נוספת ,כפי הנדרש על ידי תאגיד הבריאות.</w:t>
      </w: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p>
    <w:p w:rsidR="00D37C49" w:rsidRDefault="00D37C49" w:rsidP="00D37C49">
      <w:pPr>
        <w:overflowPunct w:val="0"/>
        <w:autoSpaceDE w:val="0"/>
        <w:autoSpaceDN w:val="0"/>
        <w:adjustRightInd w:val="0"/>
        <w:spacing w:line="240" w:lineRule="auto"/>
        <w:ind w:left="720" w:hanging="720"/>
        <w:textAlignment w:val="baseline"/>
        <w:rPr>
          <w:color w:val="auto"/>
          <w:sz w:val="24"/>
          <w:rtl/>
          <w:lang w:eastAsia="en-US"/>
        </w:rPr>
      </w:pPr>
    </w:p>
    <w:p w:rsidR="00D37C49" w:rsidRDefault="00D37C49" w:rsidP="00D37C49">
      <w:pPr>
        <w:overflowPunct w:val="0"/>
        <w:autoSpaceDE w:val="0"/>
        <w:autoSpaceDN w:val="0"/>
        <w:adjustRightInd w:val="0"/>
        <w:spacing w:line="240" w:lineRule="auto"/>
        <w:ind w:left="720" w:hanging="720"/>
        <w:jc w:val="left"/>
        <w:textAlignment w:val="baseline"/>
        <w:rPr>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07.03.2019 בשעה 12:00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w:t>
      </w:r>
    </w:p>
    <w:p w:rsidR="00D37C49" w:rsidRDefault="00D37C49" w:rsidP="00D37C49">
      <w:pPr>
        <w:overflowPunct w:val="0"/>
        <w:autoSpaceDE w:val="0"/>
        <w:autoSpaceDN w:val="0"/>
        <w:adjustRightInd w:val="0"/>
        <w:spacing w:line="240" w:lineRule="auto"/>
        <w:ind w:left="720" w:hanging="720"/>
        <w:jc w:val="left"/>
        <w:textAlignment w:val="baseline"/>
        <w:rPr>
          <w:color w:val="auto"/>
          <w:sz w:val="24"/>
          <w:rtl/>
          <w:lang w:eastAsia="en-US"/>
        </w:rPr>
      </w:pPr>
    </w:p>
    <w:p w:rsidR="00D37C49" w:rsidRDefault="00D37C49" w:rsidP="00D37C49">
      <w:pPr>
        <w:overflowPunct w:val="0"/>
        <w:autoSpaceDE w:val="0"/>
        <w:autoSpaceDN w:val="0"/>
        <w:adjustRightInd w:val="0"/>
        <w:spacing w:line="240" w:lineRule="auto"/>
        <w:ind w:left="720" w:hanging="720"/>
        <w:jc w:val="left"/>
        <w:textAlignment w:val="baseline"/>
        <w:rPr>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לתאגיד הבריאות על פי אמות המידה כמפורט במכרז.</w:t>
      </w:r>
    </w:p>
    <w:p w:rsidR="00D37C49" w:rsidRDefault="00D37C49" w:rsidP="00D37C49">
      <w:pPr>
        <w:overflowPunct w:val="0"/>
        <w:autoSpaceDE w:val="0"/>
        <w:autoSpaceDN w:val="0"/>
        <w:adjustRightInd w:val="0"/>
        <w:spacing w:line="240" w:lineRule="auto"/>
        <w:ind w:left="720" w:hanging="720"/>
        <w:jc w:val="left"/>
        <w:textAlignment w:val="baseline"/>
        <w:rPr>
          <w:color w:val="auto"/>
          <w:sz w:val="24"/>
          <w:rtl/>
          <w:lang w:eastAsia="en-US"/>
        </w:rPr>
      </w:pPr>
    </w:p>
    <w:p w:rsidR="00D37C49" w:rsidRDefault="00D37C49" w:rsidP="00D37C49">
      <w:pPr>
        <w:overflowPunct w:val="0"/>
        <w:autoSpaceDE w:val="0"/>
        <w:autoSpaceDN w:val="0"/>
        <w:adjustRightInd w:val="0"/>
        <w:spacing w:line="240" w:lineRule="auto"/>
        <w:ind w:left="720" w:hanging="720"/>
        <w:jc w:val="left"/>
        <w:textAlignment w:val="baseline"/>
        <w:rPr>
          <w:color w:val="auto"/>
          <w:sz w:val="24"/>
          <w:rtl/>
          <w:lang w:eastAsia="en-US"/>
        </w:rPr>
      </w:pPr>
      <w:r>
        <w:rPr>
          <w:rFonts w:hint="cs"/>
          <w:color w:val="auto"/>
          <w:sz w:val="24"/>
          <w:rtl/>
          <w:lang w:eastAsia="en-US"/>
        </w:rPr>
        <w:t xml:space="preserve">9. </w:t>
      </w:r>
      <w:r>
        <w:rPr>
          <w:rFonts w:hint="cs"/>
          <w:color w:val="auto"/>
          <w:sz w:val="24"/>
          <w:rtl/>
          <w:lang w:eastAsia="en-US"/>
        </w:rPr>
        <w:tab/>
      </w:r>
      <w:r>
        <w:rPr>
          <w:rFonts w:hint="cs"/>
          <w:color w:val="auto"/>
          <w:sz w:val="20"/>
          <w:rtl/>
          <w:lang w:eastAsia="en-US"/>
        </w:rPr>
        <w:t>תאגיד הבריאות שומר לעצמו את הזכות לנהל מו"מ עם המציעים או מי מהם בכל ענין  שיקבע על ידי התאגיד (לרבות מחיר), לפי שיקול דעתו,  בטרם קביעת ההצעה הזוכ</w:t>
      </w:r>
      <w:r w:rsidR="00347321">
        <w:rPr>
          <w:rFonts w:hint="cs"/>
          <w:color w:val="auto"/>
          <w:sz w:val="20"/>
          <w:rtl/>
          <w:lang w:eastAsia="en-US"/>
        </w:rPr>
        <w:t>ה</w:t>
      </w:r>
      <w:bookmarkStart w:id="0" w:name="_GoBack"/>
      <w:bookmarkEnd w:id="0"/>
    </w:p>
    <w:p w:rsidR="00D37C49" w:rsidRDefault="00D37C49" w:rsidP="00D37C49">
      <w:pPr>
        <w:overflowPunct w:val="0"/>
        <w:autoSpaceDE w:val="0"/>
        <w:autoSpaceDN w:val="0"/>
        <w:adjustRightInd w:val="0"/>
        <w:spacing w:line="240" w:lineRule="auto"/>
        <w:ind w:left="720" w:hanging="720"/>
        <w:jc w:val="left"/>
        <w:textAlignment w:val="baseline"/>
        <w:rPr>
          <w:color w:val="auto"/>
          <w:sz w:val="24"/>
          <w:rtl/>
          <w:lang w:eastAsia="en-US"/>
        </w:rPr>
      </w:pP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r>
        <w:rPr>
          <w:rFonts w:hint="cs"/>
          <w:b/>
          <w:bCs/>
          <w:color w:val="auto"/>
          <w:sz w:val="44"/>
          <w:szCs w:val="44"/>
          <w:rtl/>
          <w:lang w:eastAsia="en-US"/>
        </w:rPr>
        <w:t xml:space="preserve">       </w:t>
      </w: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p>
    <w:p w:rsidR="00D37C49" w:rsidRDefault="00D37C49" w:rsidP="00D37C49">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p>
    <w:p w:rsidR="00DE2C74" w:rsidRDefault="00DE2C74"/>
    <w:sectPr w:rsidR="00DE2C74"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49"/>
    <w:rsid w:val="00347321"/>
    <w:rsid w:val="00484587"/>
    <w:rsid w:val="00D37C49"/>
    <w:rsid w:val="00DE2C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9A97-8E0A-49D6-84E5-DF172346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49"/>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3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3B92F-8628-4521-AAB3-38A359DF79FC}"/>
</file>

<file path=customXml/itemProps2.xml><?xml version="1.0" encoding="utf-8"?>
<ds:datastoreItem xmlns:ds="http://schemas.openxmlformats.org/officeDocument/2006/customXml" ds:itemID="{EB88F80E-7044-47C6-98FA-ED65ADA13C3E}"/>
</file>

<file path=customXml/itemProps3.xml><?xml version="1.0" encoding="utf-8"?>
<ds:datastoreItem xmlns:ds="http://schemas.openxmlformats.org/officeDocument/2006/customXml" ds:itemID="{9F20DE79-CBD4-4256-9381-73818F3B9D1F}"/>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2019-01-09T10:58:00Z</dcterms:created>
  <dcterms:modified xsi:type="dcterms:W3CDTF">2019-01-09T11:02:00Z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