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8B4" w:rsidRPr="00CD78B4" w:rsidRDefault="00CD78B4" w:rsidP="00CD78B4">
      <w:pPr>
        <w:jc w:val="center"/>
        <w:rPr>
          <w:b/>
          <w:bCs/>
          <w:sz w:val="36"/>
          <w:szCs w:val="36"/>
          <w:u w:val="single"/>
        </w:rPr>
      </w:pPr>
      <w:r w:rsidRPr="00CD78B4">
        <w:rPr>
          <w:rFonts w:hint="cs"/>
          <w:b/>
          <w:bCs/>
          <w:sz w:val="36"/>
          <w:szCs w:val="36"/>
          <w:u w:val="single"/>
          <w:rtl/>
        </w:rPr>
        <w:t>תאגיד</w:t>
      </w:r>
      <w:r w:rsidRPr="00CD78B4">
        <w:rPr>
          <w:b/>
          <w:bCs/>
          <w:sz w:val="36"/>
          <w:szCs w:val="36"/>
          <w:u w:val="single"/>
          <w:rtl/>
        </w:rPr>
        <w:t xml:space="preserve"> </w:t>
      </w:r>
      <w:r w:rsidRPr="00CD78B4">
        <w:rPr>
          <w:rFonts w:hint="cs"/>
          <w:b/>
          <w:bCs/>
          <w:sz w:val="36"/>
          <w:szCs w:val="36"/>
          <w:u w:val="single"/>
          <w:rtl/>
        </w:rPr>
        <w:t>הבריאות</w:t>
      </w:r>
      <w:r w:rsidRPr="00CD78B4">
        <w:rPr>
          <w:b/>
          <w:bCs/>
          <w:sz w:val="36"/>
          <w:szCs w:val="36"/>
          <w:u w:val="single"/>
          <w:rtl/>
        </w:rPr>
        <w:t xml:space="preserve"> </w:t>
      </w:r>
      <w:r w:rsidRPr="00CD78B4">
        <w:rPr>
          <w:rFonts w:hint="cs"/>
          <w:b/>
          <w:bCs/>
          <w:sz w:val="36"/>
          <w:szCs w:val="36"/>
          <w:u w:val="single"/>
          <w:rtl/>
        </w:rPr>
        <w:t>ליד</w:t>
      </w:r>
      <w:r w:rsidRPr="00CD78B4">
        <w:rPr>
          <w:b/>
          <w:bCs/>
          <w:sz w:val="36"/>
          <w:szCs w:val="36"/>
          <w:u w:val="single"/>
          <w:rtl/>
        </w:rPr>
        <w:t xml:space="preserve"> </w:t>
      </w:r>
      <w:r w:rsidRPr="00CD78B4">
        <w:rPr>
          <w:rFonts w:hint="cs"/>
          <w:b/>
          <w:bCs/>
          <w:sz w:val="36"/>
          <w:szCs w:val="36"/>
          <w:u w:val="single"/>
          <w:rtl/>
        </w:rPr>
        <w:t>המרכז</w:t>
      </w:r>
      <w:r w:rsidRPr="00CD78B4">
        <w:rPr>
          <w:b/>
          <w:bCs/>
          <w:sz w:val="36"/>
          <w:szCs w:val="36"/>
          <w:u w:val="single"/>
          <w:rtl/>
        </w:rPr>
        <w:t xml:space="preserve"> </w:t>
      </w:r>
      <w:r w:rsidRPr="00CD78B4">
        <w:rPr>
          <w:rFonts w:hint="cs"/>
          <w:b/>
          <w:bCs/>
          <w:sz w:val="36"/>
          <w:szCs w:val="36"/>
          <w:u w:val="single"/>
          <w:rtl/>
        </w:rPr>
        <w:t>הרפואי</w:t>
      </w:r>
      <w:r w:rsidRPr="00CD78B4">
        <w:rPr>
          <w:b/>
          <w:bCs/>
          <w:sz w:val="36"/>
          <w:szCs w:val="36"/>
          <w:u w:val="single"/>
          <w:rtl/>
        </w:rPr>
        <w:t xml:space="preserve"> </w:t>
      </w:r>
      <w:r w:rsidRPr="00CD78B4">
        <w:rPr>
          <w:rFonts w:hint="cs"/>
          <w:b/>
          <w:bCs/>
          <w:sz w:val="36"/>
          <w:szCs w:val="36"/>
          <w:u w:val="single"/>
          <w:rtl/>
        </w:rPr>
        <w:t>תל</w:t>
      </w:r>
      <w:r w:rsidRPr="00CD78B4">
        <w:rPr>
          <w:b/>
          <w:bCs/>
          <w:sz w:val="36"/>
          <w:szCs w:val="36"/>
          <w:u w:val="single"/>
          <w:rtl/>
        </w:rPr>
        <w:t xml:space="preserve"> </w:t>
      </w:r>
      <w:r w:rsidRPr="00CD78B4">
        <w:rPr>
          <w:rFonts w:hint="cs"/>
          <w:b/>
          <w:bCs/>
          <w:sz w:val="36"/>
          <w:szCs w:val="36"/>
          <w:u w:val="single"/>
          <w:rtl/>
        </w:rPr>
        <w:t>אביב</w:t>
      </w:r>
      <w:bookmarkStart w:id="0" w:name="_GoBack"/>
      <w:bookmarkEnd w:id="0"/>
    </w:p>
    <w:p w:rsidR="00CD78B4" w:rsidRDefault="00CD78B4" w:rsidP="00CD78B4">
      <w:pPr>
        <w:bidi/>
        <w:ind w:left="2160" w:hanging="1440"/>
        <w:rPr>
          <w:rFonts w:cs="David"/>
          <w:b/>
          <w:bCs/>
          <w:sz w:val="24"/>
          <w:szCs w:val="24"/>
          <w:rtl/>
        </w:rPr>
      </w:pPr>
    </w:p>
    <w:p w:rsidR="00CD78B4" w:rsidRDefault="00CD78B4" w:rsidP="00CD78B4">
      <w:pPr>
        <w:bidi/>
        <w:ind w:left="2160" w:hanging="1440"/>
        <w:rPr>
          <w:b/>
          <w:bCs/>
          <w:sz w:val="18"/>
          <w:szCs w:val="28"/>
          <w:u w:val="single"/>
        </w:rPr>
      </w:pPr>
      <w:r>
        <w:rPr>
          <w:rFonts w:cs="David" w:hint="cs"/>
          <w:b/>
          <w:bCs/>
          <w:sz w:val="24"/>
          <w:szCs w:val="24"/>
          <w:rtl/>
        </w:rPr>
        <w:t>מכרז פומבי מס' 100/2019 – שירותי מעבדה לביצוע בדיקת דם לא פולשנית (</w:t>
      </w:r>
      <w:r>
        <w:rPr>
          <w:rFonts w:cs="David"/>
          <w:b/>
          <w:bCs/>
          <w:sz w:val="24"/>
          <w:szCs w:val="24"/>
        </w:rPr>
        <w:t>NIPS</w:t>
      </w:r>
      <w:r>
        <w:rPr>
          <w:rFonts w:cs="David" w:hint="cs"/>
          <w:b/>
          <w:bCs/>
          <w:sz w:val="24"/>
          <w:szCs w:val="24"/>
          <w:rtl/>
        </w:rPr>
        <w:t>)</w:t>
      </w:r>
    </w:p>
    <w:p w:rsidR="00CD78B4" w:rsidRDefault="00CD78B4" w:rsidP="00CD78B4">
      <w:pPr>
        <w:bidi/>
        <w:ind w:left="2160" w:hanging="1440"/>
        <w:rPr>
          <w:rFonts w:hint="cs"/>
          <w:b/>
          <w:bCs/>
          <w:sz w:val="18"/>
          <w:szCs w:val="28"/>
          <w:u w:val="single"/>
          <w:rtl/>
        </w:rPr>
      </w:pPr>
    </w:p>
    <w:p w:rsidR="00CD78B4" w:rsidRDefault="00CD78B4" w:rsidP="00CD78B4">
      <w:pPr>
        <w:bidi/>
        <w:ind w:left="720" w:hanging="720"/>
        <w:jc w:val="both"/>
        <w:rPr>
          <w:rFonts w:cs="David" w:hint="cs"/>
          <w:sz w:val="24"/>
          <w:szCs w:val="24"/>
          <w:rtl/>
        </w:rPr>
      </w:pPr>
      <w:r>
        <w:rPr>
          <w:rFonts w:cs="David" w:hint="cs"/>
          <w:sz w:val="24"/>
          <w:szCs w:val="24"/>
          <w:rtl/>
        </w:rPr>
        <w:t>1.</w:t>
      </w:r>
      <w:r>
        <w:rPr>
          <w:rFonts w:cs="David" w:hint="cs"/>
          <w:sz w:val="24"/>
          <w:szCs w:val="24"/>
          <w:rtl/>
        </w:rPr>
        <w:tab/>
        <w:t>תאגיד הבריאות על יד מהרכז הרפואי תל אביב  (להלן - המזמינה) מבקשת הצעות לרכישת שירותי מעבדת גנטיים בהתאם לתנאים ולדרישות המפורטים במסמכי המכרז.</w:t>
      </w:r>
    </w:p>
    <w:p w:rsidR="00CD78B4" w:rsidRDefault="00CD78B4" w:rsidP="00CD78B4">
      <w:pPr>
        <w:bidi/>
        <w:ind w:left="720" w:hanging="720"/>
        <w:jc w:val="both"/>
        <w:rPr>
          <w:rFonts w:cs="David" w:hint="cs"/>
          <w:sz w:val="24"/>
          <w:szCs w:val="24"/>
          <w:rtl/>
        </w:rPr>
      </w:pPr>
    </w:p>
    <w:p w:rsidR="00CD78B4" w:rsidRDefault="00CD78B4" w:rsidP="00CD78B4">
      <w:pPr>
        <w:bidi/>
        <w:ind w:left="720" w:hanging="720"/>
        <w:jc w:val="both"/>
        <w:rPr>
          <w:rFonts w:cs="David" w:hint="cs"/>
          <w:sz w:val="24"/>
          <w:szCs w:val="24"/>
          <w:rtl/>
        </w:rPr>
      </w:pPr>
      <w:r>
        <w:rPr>
          <w:rFonts w:cs="David" w:hint="cs"/>
          <w:sz w:val="24"/>
          <w:szCs w:val="24"/>
          <w:rtl/>
        </w:rPr>
        <w:t>2.</w:t>
      </w:r>
      <w:r>
        <w:rPr>
          <w:rFonts w:cs="David" w:hint="cs"/>
          <w:sz w:val="24"/>
          <w:szCs w:val="24"/>
          <w:rtl/>
        </w:rPr>
        <w:tab/>
        <w:t>את מסמכי המכרז ניתן לרכוש במשרדי המזמינה, רחוב ויצמן 6, תל אביב בניין ראשונים קומה 7, בימים א'-ה' בשעות 08:00 עד 14:00 החל מיום 16.1.19</w:t>
      </w:r>
    </w:p>
    <w:p w:rsidR="00CD78B4" w:rsidRDefault="00CD78B4" w:rsidP="00CD78B4">
      <w:pPr>
        <w:bidi/>
        <w:ind w:left="720" w:hanging="720"/>
        <w:jc w:val="both"/>
        <w:rPr>
          <w:rFonts w:cs="David" w:hint="cs"/>
          <w:sz w:val="24"/>
          <w:szCs w:val="24"/>
          <w:rtl/>
        </w:rPr>
      </w:pPr>
    </w:p>
    <w:p w:rsidR="00CD78B4" w:rsidRDefault="00CD78B4" w:rsidP="00CD78B4">
      <w:pPr>
        <w:bidi/>
        <w:ind w:left="720" w:hanging="720"/>
        <w:jc w:val="both"/>
        <w:rPr>
          <w:rFonts w:cs="David" w:hint="cs"/>
          <w:sz w:val="24"/>
          <w:szCs w:val="24"/>
          <w:rtl/>
        </w:rPr>
      </w:pPr>
      <w:r>
        <w:rPr>
          <w:rFonts w:cs="David" w:hint="cs"/>
          <w:sz w:val="24"/>
          <w:szCs w:val="24"/>
          <w:rtl/>
        </w:rPr>
        <w:t>3.</w:t>
      </w:r>
      <w:r>
        <w:rPr>
          <w:rFonts w:cs="David" w:hint="cs"/>
          <w:sz w:val="24"/>
          <w:szCs w:val="24"/>
          <w:rtl/>
        </w:rPr>
        <w:tab/>
        <w:t>רשאית להשתתף במכרז רק מעבדה העונה על התנאים כדלקמן (תנאי סף):</w:t>
      </w:r>
    </w:p>
    <w:p w:rsidR="00CD78B4" w:rsidRDefault="00CD78B4" w:rsidP="00CD78B4">
      <w:pPr>
        <w:bidi/>
        <w:ind w:left="720" w:hanging="720"/>
        <w:jc w:val="both"/>
        <w:rPr>
          <w:rFonts w:cs="David" w:hint="cs"/>
          <w:sz w:val="24"/>
          <w:szCs w:val="24"/>
          <w:rtl/>
        </w:rPr>
      </w:pPr>
    </w:p>
    <w:p w:rsidR="00CD78B4" w:rsidRDefault="00CD78B4" w:rsidP="00CD78B4">
      <w:pPr>
        <w:bidi/>
        <w:ind w:left="1440" w:hanging="720"/>
        <w:jc w:val="both"/>
        <w:rPr>
          <w:rFonts w:cs="David" w:hint="cs"/>
          <w:sz w:val="24"/>
          <w:szCs w:val="24"/>
          <w:rtl/>
        </w:rPr>
      </w:pPr>
      <w:r>
        <w:rPr>
          <w:rFonts w:cs="David" w:hint="cs"/>
          <w:sz w:val="24"/>
          <w:szCs w:val="24"/>
          <w:rtl/>
        </w:rPr>
        <w:t>א.</w:t>
      </w:r>
      <w:r>
        <w:rPr>
          <w:rFonts w:cs="David" w:hint="cs"/>
          <w:sz w:val="24"/>
          <w:szCs w:val="24"/>
          <w:rtl/>
        </w:rPr>
        <w:tab/>
        <w:t xml:space="preserve">הינה בעלת רישיון עסק תקף כנדרש עפ"י כל דין.  </w:t>
      </w:r>
    </w:p>
    <w:p w:rsidR="00CD78B4" w:rsidRDefault="00CD78B4" w:rsidP="00CD78B4">
      <w:pPr>
        <w:bidi/>
        <w:ind w:left="1440" w:hanging="720"/>
        <w:jc w:val="both"/>
        <w:rPr>
          <w:rFonts w:cs="David" w:hint="cs"/>
          <w:sz w:val="24"/>
          <w:szCs w:val="24"/>
          <w:rtl/>
        </w:rPr>
      </w:pPr>
      <w:r>
        <w:rPr>
          <w:rFonts w:cs="David" w:hint="cs"/>
          <w:sz w:val="24"/>
          <w:szCs w:val="24"/>
          <w:rtl/>
        </w:rPr>
        <w:t>ב.</w:t>
      </w:r>
      <w:r>
        <w:rPr>
          <w:rFonts w:cs="David" w:hint="cs"/>
          <w:sz w:val="24"/>
          <w:szCs w:val="24"/>
          <w:rtl/>
        </w:rPr>
        <w:tab/>
        <w:t>מחזיקה בהסכמה ברת תוקף ממשרד הבריאות לביצוע בדיקות גנטיות קליניות.</w:t>
      </w:r>
    </w:p>
    <w:p w:rsidR="00CD78B4" w:rsidRDefault="00CD78B4" w:rsidP="00CD78B4">
      <w:pPr>
        <w:bidi/>
        <w:ind w:left="1440" w:hanging="720"/>
        <w:jc w:val="both"/>
        <w:rPr>
          <w:rFonts w:cs="David" w:hint="cs"/>
          <w:sz w:val="24"/>
          <w:szCs w:val="24"/>
          <w:rtl/>
        </w:rPr>
      </w:pPr>
      <w:r>
        <w:rPr>
          <w:rFonts w:cs="David" w:hint="cs"/>
          <w:sz w:val="24"/>
          <w:szCs w:val="24"/>
          <w:rtl/>
        </w:rPr>
        <w:t xml:space="preserve"> ג.         היא בעלת ניסיון ב-3 השנים האחרונות בביצוע בדיקות גנטיות קליניות</w:t>
      </w:r>
    </w:p>
    <w:p w:rsidR="00CD78B4" w:rsidRDefault="00CD78B4" w:rsidP="00CD78B4">
      <w:pPr>
        <w:bidi/>
        <w:ind w:left="1440" w:hanging="720"/>
        <w:jc w:val="both"/>
        <w:rPr>
          <w:rFonts w:cs="David" w:hint="cs"/>
          <w:sz w:val="24"/>
          <w:szCs w:val="24"/>
          <w:rtl/>
        </w:rPr>
      </w:pPr>
      <w:r>
        <w:rPr>
          <w:rFonts w:cs="David" w:hint="cs"/>
          <w:sz w:val="24"/>
          <w:szCs w:val="24"/>
          <w:rtl/>
        </w:rPr>
        <w:t xml:space="preserve">ד.          מחזיקה  אישור תקן </w:t>
      </w:r>
      <w:r>
        <w:rPr>
          <w:rFonts w:cs="David"/>
          <w:sz w:val="24"/>
          <w:szCs w:val="24"/>
        </w:rPr>
        <w:t xml:space="preserve">ISO9001:15189  </w:t>
      </w:r>
      <w:r>
        <w:rPr>
          <w:rFonts w:cs="David" w:hint="cs"/>
          <w:sz w:val="24"/>
          <w:szCs w:val="24"/>
          <w:rtl/>
        </w:rPr>
        <w:t xml:space="preserve"> או </w:t>
      </w:r>
      <w:r>
        <w:rPr>
          <w:rFonts w:cs="David" w:hint="cs"/>
          <w:sz w:val="24"/>
          <w:szCs w:val="24"/>
        </w:rPr>
        <w:t xml:space="preserve"> </w:t>
      </w:r>
      <w:r>
        <w:rPr>
          <w:rFonts w:cs="David"/>
          <w:sz w:val="24"/>
          <w:szCs w:val="24"/>
        </w:rPr>
        <w:t>CLIA</w:t>
      </w:r>
    </w:p>
    <w:p w:rsidR="00CD78B4" w:rsidRDefault="00CD78B4" w:rsidP="00CD78B4">
      <w:pPr>
        <w:bidi/>
        <w:ind w:left="1440" w:hanging="720"/>
        <w:jc w:val="both"/>
        <w:rPr>
          <w:rFonts w:cs="David"/>
          <w:sz w:val="24"/>
          <w:szCs w:val="24"/>
        </w:rPr>
      </w:pPr>
      <w:r>
        <w:rPr>
          <w:rFonts w:cs="David" w:hint="cs"/>
          <w:sz w:val="24"/>
          <w:szCs w:val="24"/>
          <w:rtl/>
        </w:rPr>
        <w:t xml:space="preserve">ה.      למציע כל האישורים הנדרשים לפי חוק עסקאות גופים ציבוריים (אכיפת ניהול חשבונות ותשלום חובות מס), </w:t>
      </w:r>
      <w:proofErr w:type="spellStart"/>
      <w:r>
        <w:rPr>
          <w:rFonts w:cs="David" w:hint="cs"/>
          <w:sz w:val="24"/>
          <w:szCs w:val="24"/>
          <w:rtl/>
        </w:rPr>
        <w:t>התשל"ו</w:t>
      </w:r>
      <w:proofErr w:type="spellEnd"/>
      <w:r>
        <w:rPr>
          <w:rFonts w:cs="David" w:hint="cs"/>
          <w:sz w:val="24"/>
          <w:szCs w:val="24"/>
          <w:rtl/>
        </w:rPr>
        <w:t xml:space="preserve"> – 1976. </w:t>
      </w:r>
    </w:p>
    <w:p w:rsidR="00CD78B4" w:rsidRDefault="00CD78B4" w:rsidP="00CD78B4">
      <w:pPr>
        <w:bidi/>
        <w:ind w:left="720" w:hanging="720"/>
        <w:jc w:val="both"/>
        <w:rPr>
          <w:rFonts w:cs="David" w:hint="cs"/>
          <w:sz w:val="24"/>
          <w:szCs w:val="24"/>
          <w:rtl/>
        </w:rPr>
      </w:pPr>
    </w:p>
    <w:p w:rsidR="00CD78B4" w:rsidRDefault="00CD78B4" w:rsidP="00CD78B4">
      <w:pPr>
        <w:bidi/>
        <w:ind w:left="720" w:hanging="720"/>
        <w:jc w:val="both"/>
        <w:rPr>
          <w:rFonts w:cs="David" w:hint="cs"/>
          <w:sz w:val="24"/>
          <w:szCs w:val="24"/>
          <w:rtl/>
        </w:rPr>
      </w:pPr>
      <w:r>
        <w:rPr>
          <w:rFonts w:cs="David" w:hint="cs"/>
          <w:sz w:val="24"/>
          <w:szCs w:val="24"/>
          <w:rtl/>
        </w:rPr>
        <w:t>4.</w:t>
      </w:r>
      <w:r>
        <w:rPr>
          <w:rFonts w:cs="David" w:hint="cs"/>
          <w:sz w:val="24"/>
          <w:szCs w:val="24"/>
          <w:rtl/>
        </w:rPr>
        <w:tab/>
        <w:t>המציע יצרף להצעתו ערבות בנקאית אוטונומית ו/או ערבות של חברת ביטוח הפועלת כדין בישראל, על סך של 15,000 ₪ בנוסח כמפורט במסמכי המכרז. הערבות תהיה צמודה למדד המחירים לצרכן ותהיה בתוקף 120 יום מהמועד האחרון להגשת ההצעות. לפי דרישת המזמינה יוארך תוקף הערבות הבנקאית לתקופה נוספת כפי הנדרש על ידי המזמינה.</w:t>
      </w:r>
    </w:p>
    <w:p w:rsidR="00CD78B4" w:rsidRDefault="00CD78B4" w:rsidP="00CD78B4">
      <w:pPr>
        <w:bidi/>
        <w:ind w:left="720" w:hanging="720"/>
        <w:jc w:val="both"/>
        <w:rPr>
          <w:rFonts w:cs="David" w:hint="cs"/>
          <w:sz w:val="24"/>
          <w:szCs w:val="24"/>
          <w:rtl/>
        </w:rPr>
      </w:pPr>
    </w:p>
    <w:p w:rsidR="00CD78B4" w:rsidRDefault="00CD78B4" w:rsidP="00CD78B4">
      <w:pPr>
        <w:bidi/>
        <w:ind w:left="720" w:hanging="720"/>
        <w:jc w:val="both"/>
        <w:rPr>
          <w:rFonts w:cs="David" w:hint="cs"/>
          <w:sz w:val="24"/>
          <w:szCs w:val="24"/>
          <w:rtl/>
        </w:rPr>
      </w:pPr>
      <w:r>
        <w:rPr>
          <w:rFonts w:cs="David" w:hint="cs"/>
          <w:sz w:val="24"/>
          <w:szCs w:val="24"/>
          <w:rtl/>
        </w:rPr>
        <w:t>5.</w:t>
      </w:r>
      <w:r>
        <w:rPr>
          <w:rFonts w:cs="David" w:hint="cs"/>
          <w:sz w:val="24"/>
          <w:szCs w:val="24"/>
          <w:rtl/>
        </w:rPr>
        <w:tab/>
        <w:t>תקופת ההסכם הינה ל - 12 חודשים. המזמינה תהא רשאית להאריך את הסכם לתקופות נוספות בנות 12 חודשים כל אחת, עד לתקופה של 60 חודשים. המזמינה תהא רשאית להביא את ההסכם לסיום מוקדם בתנאים כמפורט בהסכם.</w:t>
      </w:r>
    </w:p>
    <w:p w:rsidR="00CD78B4" w:rsidRDefault="00CD78B4" w:rsidP="00CD78B4">
      <w:pPr>
        <w:bidi/>
        <w:ind w:left="720" w:hanging="720"/>
        <w:jc w:val="both"/>
        <w:rPr>
          <w:rFonts w:cs="David" w:hint="cs"/>
          <w:sz w:val="24"/>
          <w:szCs w:val="24"/>
          <w:rtl/>
        </w:rPr>
      </w:pPr>
    </w:p>
    <w:p w:rsidR="00CD78B4" w:rsidRDefault="00CD78B4" w:rsidP="00CD78B4">
      <w:pPr>
        <w:bidi/>
        <w:ind w:left="720" w:hanging="720"/>
        <w:jc w:val="both"/>
        <w:rPr>
          <w:rFonts w:cs="David" w:hint="cs"/>
          <w:sz w:val="24"/>
          <w:szCs w:val="24"/>
          <w:rtl/>
        </w:rPr>
      </w:pPr>
      <w:r>
        <w:rPr>
          <w:rFonts w:cs="David" w:hint="cs"/>
          <w:sz w:val="24"/>
          <w:szCs w:val="24"/>
          <w:rtl/>
        </w:rPr>
        <w:t>6.</w:t>
      </w:r>
      <w:r>
        <w:rPr>
          <w:rFonts w:cs="David" w:hint="cs"/>
          <w:sz w:val="24"/>
          <w:szCs w:val="24"/>
          <w:rtl/>
        </w:rPr>
        <w:tab/>
        <w:t>ההוראות והתנאים הכלולים בחוברת המכרז הם חלק בלתי נפרד מתנאי המכרז.</w:t>
      </w:r>
    </w:p>
    <w:p w:rsidR="00CD78B4" w:rsidRDefault="00CD78B4" w:rsidP="00CD78B4">
      <w:pPr>
        <w:bidi/>
        <w:ind w:left="720" w:hanging="720"/>
        <w:jc w:val="both"/>
        <w:rPr>
          <w:rFonts w:cs="David" w:hint="cs"/>
          <w:sz w:val="24"/>
          <w:szCs w:val="24"/>
          <w:rtl/>
        </w:rPr>
      </w:pPr>
    </w:p>
    <w:p w:rsidR="00CD78B4" w:rsidRDefault="00CD78B4" w:rsidP="00CD78B4">
      <w:pPr>
        <w:bidi/>
        <w:ind w:left="720" w:hanging="720"/>
        <w:jc w:val="both"/>
        <w:rPr>
          <w:rFonts w:cs="David" w:hint="cs"/>
          <w:sz w:val="24"/>
          <w:szCs w:val="24"/>
          <w:rtl/>
        </w:rPr>
      </w:pPr>
      <w:r>
        <w:rPr>
          <w:rFonts w:cs="David" w:hint="cs"/>
          <w:sz w:val="24"/>
          <w:szCs w:val="24"/>
          <w:rtl/>
        </w:rPr>
        <w:t>7.</w:t>
      </w:r>
      <w:r>
        <w:rPr>
          <w:rFonts w:cs="David" w:hint="cs"/>
          <w:sz w:val="24"/>
          <w:szCs w:val="24"/>
          <w:rtl/>
        </w:rPr>
        <w:tab/>
        <w:t>המזמינה אינה מתחייבת לקבל את ההצעה הזולה ביותר, או כל הצעה שהיא וכן תהא רשאית להכריז על מספר זוכים. המזמינה רשאית לבטל או להרחיב או לצמצם את היקף המכרז בגלל סיבות תקציביות ו/או מנהליות ו/או ארגוניות ו/או אחרות, לפי שיקול דעתה.</w:t>
      </w:r>
    </w:p>
    <w:p w:rsidR="00CD78B4" w:rsidRDefault="00CD78B4" w:rsidP="00CD78B4">
      <w:pPr>
        <w:bidi/>
        <w:ind w:left="720" w:hanging="720"/>
        <w:jc w:val="both"/>
        <w:rPr>
          <w:rFonts w:cs="David" w:hint="cs"/>
          <w:sz w:val="24"/>
          <w:szCs w:val="24"/>
          <w:rtl/>
        </w:rPr>
      </w:pPr>
    </w:p>
    <w:p w:rsidR="00CD78B4" w:rsidRDefault="00CD78B4" w:rsidP="00CD78B4">
      <w:pPr>
        <w:bidi/>
        <w:ind w:left="720" w:hanging="720"/>
        <w:jc w:val="both"/>
        <w:rPr>
          <w:rFonts w:cs="David" w:hint="cs"/>
          <w:sz w:val="24"/>
          <w:szCs w:val="24"/>
          <w:rtl/>
        </w:rPr>
      </w:pPr>
      <w:r>
        <w:rPr>
          <w:rFonts w:cs="David" w:hint="cs"/>
          <w:sz w:val="24"/>
          <w:szCs w:val="24"/>
          <w:rtl/>
        </w:rPr>
        <w:t>8.</w:t>
      </w:r>
      <w:r>
        <w:rPr>
          <w:rFonts w:cs="David" w:hint="cs"/>
          <w:sz w:val="24"/>
          <w:szCs w:val="24"/>
          <w:rtl/>
        </w:rPr>
        <w:tab/>
        <w:t>בבחירת ההצעה, המזמינה תנהג על פי אמות המידה שנקבעו במסמכי המכרז.</w:t>
      </w:r>
    </w:p>
    <w:p w:rsidR="00CD78B4" w:rsidRDefault="00CD78B4" w:rsidP="00CD78B4">
      <w:pPr>
        <w:bidi/>
        <w:ind w:left="720" w:hanging="720"/>
        <w:jc w:val="both"/>
        <w:rPr>
          <w:rFonts w:cs="David" w:hint="cs"/>
          <w:sz w:val="24"/>
          <w:szCs w:val="24"/>
          <w:rtl/>
        </w:rPr>
      </w:pPr>
    </w:p>
    <w:p w:rsidR="00CD78B4" w:rsidRDefault="00CD78B4" w:rsidP="00CD78B4">
      <w:pPr>
        <w:bidi/>
        <w:ind w:left="720" w:hanging="720"/>
        <w:jc w:val="both"/>
        <w:rPr>
          <w:rFonts w:cs="David" w:hint="cs"/>
          <w:sz w:val="24"/>
          <w:szCs w:val="24"/>
          <w:rtl/>
        </w:rPr>
      </w:pPr>
      <w:r>
        <w:rPr>
          <w:rFonts w:cs="David" w:hint="cs"/>
          <w:sz w:val="24"/>
          <w:szCs w:val="24"/>
          <w:rtl/>
        </w:rPr>
        <w:t>9.</w:t>
      </w:r>
      <w:r>
        <w:rPr>
          <w:rFonts w:cs="David" w:hint="cs"/>
          <w:sz w:val="24"/>
          <w:szCs w:val="24"/>
          <w:rtl/>
        </w:rPr>
        <w:tab/>
        <w:t>המזמינה שומרת לעצמה את הזכות לנהל מו"מ עם המציעים או מי מהם, גם בטרם קביעת הצעה זוכה.</w:t>
      </w:r>
    </w:p>
    <w:p w:rsidR="00CD78B4" w:rsidRDefault="00CD78B4" w:rsidP="00CD78B4">
      <w:pPr>
        <w:bidi/>
        <w:ind w:left="720" w:hanging="720"/>
        <w:jc w:val="both"/>
        <w:rPr>
          <w:rFonts w:cs="David" w:hint="cs"/>
          <w:sz w:val="24"/>
          <w:szCs w:val="24"/>
          <w:rtl/>
        </w:rPr>
      </w:pPr>
    </w:p>
    <w:p w:rsidR="00CD78B4" w:rsidRDefault="00CD78B4" w:rsidP="00CD78B4">
      <w:pPr>
        <w:bidi/>
        <w:ind w:left="720" w:hanging="720"/>
        <w:rPr>
          <w:rFonts w:cs="David" w:hint="cs"/>
          <w:sz w:val="24"/>
          <w:szCs w:val="24"/>
          <w:rtl/>
        </w:rPr>
      </w:pPr>
      <w:r>
        <w:rPr>
          <w:rFonts w:cs="David" w:hint="cs"/>
          <w:sz w:val="24"/>
          <w:szCs w:val="24"/>
          <w:rtl/>
        </w:rPr>
        <w:t>10.</w:t>
      </w:r>
      <w:r>
        <w:rPr>
          <w:rFonts w:cs="David" w:hint="cs"/>
          <w:sz w:val="24"/>
          <w:szCs w:val="24"/>
          <w:rtl/>
        </w:rPr>
        <w:tab/>
        <w:t>המועד האחרון להכנסת ההצעות לתיבת המכרזים נקבע ל- 14.2.19 בשעה 12:00.</w:t>
      </w:r>
    </w:p>
    <w:p w:rsidR="00CD78B4" w:rsidRDefault="00CD78B4" w:rsidP="00CD78B4">
      <w:pPr>
        <w:bidi/>
        <w:rPr>
          <w:rFonts w:hint="cs"/>
          <w:rtl/>
        </w:rPr>
      </w:pPr>
    </w:p>
    <w:p w:rsidR="00CD78B4" w:rsidRDefault="00CD78B4" w:rsidP="00CD78B4">
      <w:pPr>
        <w:bidi/>
        <w:rPr>
          <w:rFonts w:cs="David"/>
          <w:sz w:val="24"/>
          <w:szCs w:val="24"/>
        </w:rPr>
      </w:pPr>
      <w:r>
        <w:rPr>
          <w:rFonts w:cs="David" w:hint="cs"/>
          <w:sz w:val="24"/>
          <w:szCs w:val="24"/>
          <w:rtl/>
        </w:rPr>
        <w:br w:type="page"/>
      </w:r>
    </w:p>
    <w:p w:rsidR="00425AD1" w:rsidRDefault="00425AD1"/>
    <w:sectPr w:rsidR="00425AD1"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B4"/>
    <w:rsid w:val="00425AD1"/>
    <w:rsid w:val="00484587"/>
    <w:rsid w:val="00CD78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A20A8-A876-4FD9-9945-8ECA9E10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8B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1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9EDA7B-834D-4E21-AF9B-8D5DBF8362E0}"/>
</file>

<file path=customXml/itemProps2.xml><?xml version="1.0" encoding="utf-8"?>
<ds:datastoreItem xmlns:ds="http://schemas.openxmlformats.org/officeDocument/2006/customXml" ds:itemID="{863B6D85-6BB5-497A-8B63-680670A5E8BE}"/>
</file>

<file path=customXml/itemProps3.xml><?xml version="1.0" encoding="utf-8"?>
<ds:datastoreItem xmlns:ds="http://schemas.openxmlformats.org/officeDocument/2006/customXml" ds:itemID="{170F9B40-EEC9-4508-B889-A4DDE0939966}"/>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1</cp:revision>
  <dcterms:created xsi:type="dcterms:W3CDTF">2019-01-13T08:45:00Z</dcterms:created>
  <dcterms:modified xsi:type="dcterms:W3CDTF">2019-01-13T08:46:00Z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