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A9" w:rsidRDefault="001B06A9" w:rsidP="001B06A9">
      <w:pPr>
        <w:spacing w:line="276" w:lineRule="auto"/>
        <w:jc w:val="center"/>
        <w:rPr>
          <w:b/>
          <w:bCs/>
          <w:color w:val="auto"/>
          <w:sz w:val="44"/>
          <w:szCs w:val="44"/>
          <w:u w:val="single"/>
          <w:lang w:eastAsia="en-US"/>
        </w:rPr>
      </w:pPr>
      <w:r>
        <w:rPr>
          <w:rFonts w:hint="cs"/>
          <w:b/>
          <w:bCs/>
          <w:color w:val="auto"/>
          <w:sz w:val="44"/>
          <w:szCs w:val="44"/>
          <w:u w:val="single"/>
          <w:rtl/>
          <w:lang w:eastAsia="en-US"/>
        </w:rPr>
        <w:t>מודעה</w:t>
      </w:r>
    </w:p>
    <w:p w:rsidR="001B06A9" w:rsidRPr="001B06A9" w:rsidRDefault="001B06A9" w:rsidP="001B06A9">
      <w:pPr>
        <w:spacing w:line="240" w:lineRule="auto"/>
        <w:jc w:val="center"/>
        <w:rPr>
          <w:rFonts w:ascii="Calibri" w:eastAsia="Calibri" w:hAnsi="Calibri"/>
          <w:b/>
          <w:bCs/>
          <w:noProof w:val="0"/>
          <w:color w:val="auto"/>
          <w:sz w:val="28"/>
          <w:szCs w:val="28"/>
          <w:u w:val="single"/>
          <w:rtl/>
          <w:lang w:eastAsia="en-US"/>
        </w:rPr>
      </w:pPr>
      <w:r w:rsidRPr="001B06A9">
        <w:rPr>
          <w:rFonts w:ascii="Calibri" w:eastAsia="Calibri" w:hAnsi="Calibri" w:hint="cs"/>
          <w:b/>
          <w:bCs/>
          <w:noProof w:val="0"/>
          <w:color w:val="auto"/>
          <w:sz w:val="28"/>
          <w:szCs w:val="28"/>
          <w:u w:val="single"/>
          <w:rtl/>
          <w:lang w:eastAsia="en-US"/>
        </w:rPr>
        <w:t>תאגיד</w:t>
      </w:r>
      <w:r w:rsidRPr="001B06A9">
        <w:rPr>
          <w:rFonts w:ascii="Calibri" w:eastAsia="Calibri" w:hAnsi="Calibri"/>
          <w:b/>
          <w:bCs/>
          <w:noProof w:val="0"/>
          <w:color w:val="auto"/>
          <w:sz w:val="28"/>
          <w:szCs w:val="28"/>
          <w:u w:val="single"/>
          <w:rtl/>
          <w:lang w:eastAsia="en-US"/>
        </w:rPr>
        <w:t xml:space="preserve"> </w:t>
      </w:r>
      <w:r w:rsidRPr="001B06A9">
        <w:rPr>
          <w:rFonts w:ascii="Calibri" w:eastAsia="Calibri" w:hAnsi="Calibri" w:hint="cs"/>
          <w:b/>
          <w:bCs/>
          <w:noProof w:val="0"/>
          <w:color w:val="auto"/>
          <w:sz w:val="28"/>
          <w:szCs w:val="28"/>
          <w:u w:val="single"/>
          <w:rtl/>
          <w:lang w:eastAsia="en-US"/>
        </w:rPr>
        <w:t>הבריאות</w:t>
      </w:r>
      <w:r w:rsidRPr="001B06A9">
        <w:rPr>
          <w:rFonts w:ascii="Calibri" w:eastAsia="Calibri" w:hAnsi="Calibri"/>
          <w:b/>
          <w:bCs/>
          <w:noProof w:val="0"/>
          <w:color w:val="auto"/>
          <w:sz w:val="28"/>
          <w:szCs w:val="28"/>
          <w:u w:val="single"/>
          <w:rtl/>
          <w:lang w:eastAsia="en-US"/>
        </w:rPr>
        <w:t xml:space="preserve"> </w:t>
      </w:r>
      <w:r w:rsidRPr="001B06A9">
        <w:rPr>
          <w:rFonts w:ascii="Calibri" w:eastAsia="Calibri" w:hAnsi="Calibri" w:hint="cs"/>
          <w:b/>
          <w:bCs/>
          <w:noProof w:val="0"/>
          <w:color w:val="auto"/>
          <w:sz w:val="28"/>
          <w:szCs w:val="28"/>
          <w:u w:val="single"/>
          <w:rtl/>
          <w:lang w:eastAsia="en-US"/>
        </w:rPr>
        <w:t>ליד</w:t>
      </w:r>
      <w:r w:rsidRPr="001B06A9">
        <w:rPr>
          <w:rFonts w:ascii="Calibri" w:eastAsia="Calibri" w:hAnsi="Calibri"/>
          <w:b/>
          <w:bCs/>
          <w:noProof w:val="0"/>
          <w:color w:val="auto"/>
          <w:sz w:val="28"/>
          <w:szCs w:val="28"/>
          <w:u w:val="single"/>
          <w:rtl/>
          <w:lang w:eastAsia="en-US"/>
        </w:rPr>
        <w:t xml:space="preserve"> </w:t>
      </w:r>
      <w:r w:rsidRPr="001B06A9">
        <w:rPr>
          <w:rFonts w:ascii="Calibri" w:eastAsia="Calibri" w:hAnsi="Calibri" w:hint="cs"/>
          <w:b/>
          <w:bCs/>
          <w:noProof w:val="0"/>
          <w:color w:val="auto"/>
          <w:sz w:val="28"/>
          <w:szCs w:val="28"/>
          <w:u w:val="single"/>
          <w:rtl/>
          <w:lang w:eastAsia="en-US"/>
        </w:rPr>
        <w:t>המרכז</w:t>
      </w:r>
      <w:r w:rsidRPr="001B06A9">
        <w:rPr>
          <w:rFonts w:ascii="Calibri" w:eastAsia="Calibri" w:hAnsi="Calibri"/>
          <w:b/>
          <w:bCs/>
          <w:noProof w:val="0"/>
          <w:color w:val="auto"/>
          <w:sz w:val="28"/>
          <w:szCs w:val="28"/>
          <w:u w:val="single"/>
          <w:rtl/>
          <w:lang w:eastAsia="en-US"/>
        </w:rPr>
        <w:t xml:space="preserve"> </w:t>
      </w:r>
      <w:r w:rsidRPr="001B06A9">
        <w:rPr>
          <w:rFonts w:ascii="Calibri" w:eastAsia="Calibri" w:hAnsi="Calibri" w:hint="cs"/>
          <w:b/>
          <w:bCs/>
          <w:noProof w:val="0"/>
          <w:color w:val="auto"/>
          <w:sz w:val="28"/>
          <w:szCs w:val="28"/>
          <w:u w:val="single"/>
          <w:rtl/>
          <w:lang w:eastAsia="en-US"/>
        </w:rPr>
        <w:t>הרפואי</w:t>
      </w:r>
      <w:r w:rsidRPr="001B06A9">
        <w:rPr>
          <w:rFonts w:ascii="Calibri" w:eastAsia="Calibri" w:hAnsi="Calibri"/>
          <w:b/>
          <w:bCs/>
          <w:noProof w:val="0"/>
          <w:color w:val="auto"/>
          <w:sz w:val="28"/>
          <w:szCs w:val="28"/>
          <w:u w:val="single"/>
          <w:rtl/>
          <w:lang w:eastAsia="en-US"/>
        </w:rPr>
        <w:t xml:space="preserve"> </w:t>
      </w:r>
      <w:r w:rsidRPr="001B06A9">
        <w:rPr>
          <w:rFonts w:ascii="Calibri" w:eastAsia="Calibri" w:hAnsi="Calibri" w:hint="cs"/>
          <w:b/>
          <w:bCs/>
          <w:noProof w:val="0"/>
          <w:color w:val="auto"/>
          <w:sz w:val="28"/>
          <w:szCs w:val="28"/>
          <w:u w:val="single"/>
          <w:rtl/>
          <w:lang w:eastAsia="en-US"/>
        </w:rPr>
        <w:t>תל</w:t>
      </w:r>
      <w:r w:rsidRPr="001B06A9">
        <w:rPr>
          <w:rFonts w:ascii="Calibri" w:eastAsia="Calibri" w:hAnsi="Calibri"/>
          <w:b/>
          <w:bCs/>
          <w:noProof w:val="0"/>
          <w:color w:val="auto"/>
          <w:sz w:val="28"/>
          <w:szCs w:val="28"/>
          <w:u w:val="single"/>
          <w:rtl/>
          <w:lang w:eastAsia="en-US"/>
        </w:rPr>
        <w:t xml:space="preserve"> </w:t>
      </w:r>
      <w:r w:rsidRPr="001B06A9">
        <w:rPr>
          <w:rFonts w:ascii="Calibri" w:eastAsia="Calibri" w:hAnsi="Calibri" w:hint="cs"/>
          <w:b/>
          <w:bCs/>
          <w:noProof w:val="0"/>
          <w:color w:val="auto"/>
          <w:sz w:val="28"/>
          <w:szCs w:val="28"/>
          <w:u w:val="single"/>
          <w:rtl/>
          <w:lang w:eastAsia="en-US"/>
        </w:rPr>
        <w:t xml:space="preserve">אביב </w:t>
      </w:r>
    </w:p>
    <w:p w:rsidR="001B06A9" w:rsidRDefault="001B06A9" w:rsidP="001B06A9">
      <w:pPr>
        <w:overflowPunct w:val="0"/>
        <w:autoSpaceDE w:val="0"/>
        <w:autoSpaceDN w:val="0"/>
        <w:bidi w:val="0"/>
        <w:adjustRightInd w:val="0"/>
        <w:spacing w:line="276" w:lineRule="auto"/>
        <w:textAlignment w:val="baseline"/>
        <w:rPr>
          <w:b/>
          <w:bCs/>
          <w:color w:val="auto"/>
          <w:sz w:val="24"/>
          <w:lang w:eastAsia="en-US"/>
        </w:rPr>
      </w:pPr>
      <w:bookmarkStart w:id="0" w:name="_GoBack"/>
      <w:bookmarkEnd w:id="0"/>
    </w:p>
    <w:p w:rsidR="001B06A9" w:rsidRDefault="001B06A9" w:rsidP="001B06A9">
      <w:pPr>
        <w:overflowPunct w:val="0"/>
        <w:autoSpaceDE w:val="0"/>
        <w:autoSpaceDN w:val="0"/>
        <w:adjustRightInd w:val="0"/>
        <w:spacing w:line="276"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131.2021 לביצוע עבודות שיפוץ כבישים וחזית המבנים והשדרת רחוב הרצוג </w:t>
      </w:r>
    </w:p>
    <w:p w:rsidR="001B06A9" w:rsidRDefault="001B06A9" w:rsidP="001B06A9">
      <w:pPr>
        <w:overflowPunct w:val="0"/>
        <w:autoSpaceDE w:val="0"/>
        <w:autoSpaceDN w:val="0"/>
        <w:bidi w:val="0"/>
        <w:adjustRightInd w:val="0"/>
        <w:spacing w:line="276" w:lineRule="auto"/>
        <w:textAlignment w:val="baseline"/>
        <w:rPr>
          <w:rFonts w:hint="cs"/>
          <w:b/>
          <w:bCs/>
          <w:color w:val="FF0000"/>
          <w:sz w:val="24"/>
          <w:rtl/>
          <w:lang w:eastAsia="en-US"/>
        </w:rPr>
      </w:pPr>
      <w:r>
        <w:rPr>
          <w:rFonts w:hint="cs"/>
          <w:b/>
          <w:bCs/>
          <w:color w:val="FF0000"/>
          <w:sz w:val="24"/>
          <w:rtl/>
          <w:lang w:eastAsia="en-US"/>
        </w:rPr>
        <w:t xml:space="preserve"> </w:t>
      </w:r>
    </w:p>
    <w:p w:rsidR="001B06A9" w:rsidRDefault="001B06A9" w:rsidP="001B06A9">
      <w:pPr>
        <w:overflowPunct w:val="0"/>
        <w:autoSpaceDE w:val="0"/>
        <w:autoSpaceDN w:val="0"/>
        <w:adjustRightInd w:val="0"/>
        <w:spacing w:line="276" w:lineRule="auto"/>
        <w:ind w:left="720" w:hanging="720"/>
        <w:textAlignment w:val="baseline"/>
        <w:rPr>
          <w:color w:val="auto"/>
          <w:sz w:val="24"/>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 xml:space="preserve">תאגיד הבריאות ליד המרכז הרפואי תל אביב (ע"ר) (להלן: "התאגיד") מבקש לבצע </w:t>
      </w:r>
      <w:r>
        <w:rPr>
          <w:rFonts w:hint="cs"/>
          <w:color w:val="auto"/>
          <w:sz w:val="26"/>
          <w:szCs w:val="26"/>
          <w:rtl/>
          <w:lang w:eastAsia="en-US"/>
        </w:rPr>
        <w:t xml:space="preserve">עבודות </w:t>
      </w:r>
      <w:r>
        <w:rPr>
          <w:rFonts w:hint="cs"/>
          <w:color w:val="auto"/>
          <w:sz w:val="24"/>
          <w:rtl/>
          <w:lang w:eastAsia="en-US"/>
        </w:rPr>
        <w:t>שיפוץ כבישים וחזית המבנים והשדרת רחוב הרצוג</w:t>
      </w:r>
      <w:r>
        <w:rPr>
          <w:rFonts w:hint="cs"/>
          <w:color w:val="auto"/>
          <w:sz w:val="26"/>
          <w:szCs w:val="26"/>
          <w:rtl/>
          <w:lang w:eastAsia="en-US"/>
        </w:rPr>
        <w:t xml:space="preserve">  במרכז הרפואי תל אביב ע"ש סוראסקי </w:t>
      </w:r>
      <w:r>
        <w:rPr>
          <w:rFonts w:hint="cs"/>
          <w:color w:val="auto"/>
          <w:sz w:val="24"/>
          <w:rtl/>
          <w:lang w:eastAsia="en-US"/>
        </w:rPr>
        <w:t xml:space="preserve">  (להלן: "העבודות"), וזאת בהתאם לתנאים ולדרישות המפורטים במסמכי המכרז.</w:t>
      </w: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יוריד המציע באמצעות קישור, מאתר האינטרנט של המזמינה שכתובתו </w:t>
      </w:r>
      <w:hyperlink r:id="rId5" w:history="1">
        <w:r>
          <w:rPr>
            <w:rStyle w:val="Hyperlink"/>
            <w:color w:val="auto"/>
            <w:sz w:val="24"/>
            <w:u w:val="none"/>
            <w:lang w:eastAsia="en-US"/>
          </w:rPr>
          <w:t>www.tasmc.org.il/michrazim/Pages/michrazim-Health-Corp.aspx</w:t>
        </w:r>
      </w:hyperlink>
      <w:r>
        <w:rPr>
          <w:rFonts w:hint="cs"/>
          <w:color w:val="auto"/>
          <w:sz w:val="24"/>
          <w:rtl/>
          <w:lang w:eastAsia="en-US"/>
        </w:rPr>
        <w:t>  זאת לאחר רישום פרטי המציע במערכת.</w:t>
      </w:r>
    </w:p>
    <w:p w:rsidR="001B06A9" w:rsidRDefault="001B06A9" w:rsidP="001B06A9">
      <w:pPr>
        <w:overflowPunct w:val="0"/>
        <w:autoSpaceDE w:val="0"/>
        <w:autoSpaceDN w:val="0"/>
        <w:adjustRightInd w:val="0"/>
        <w:spacing w:line="276" w:lineRule="auto"/>
        <w:ind w:left="720" w:hanging="720"/>
        <w:textAlignment w:val="baseline"/>
        <w:rPr>
          <w:color w:val="auto"/>
          <w:sz w:val="24"/>
          <w:lang w:eastAsia="en-US"/>
        </w:rPr>
      </w:pPr>
    </w:p>
    <w:p w:rsidR="001B06A9" w:rsidRDefault="001B06A9" w:rsidP="001B06A9">
      <w:pPr>
        <w:overflowPunct w:val="0"/>
        <w:autoSpaceDE w:val="0"/>
        <w:autoSpaceDN w:val="0"/>
        <w:adjustRightInd w:val="0"/>
        <w:spacing w:line="276" w:lineRule="auto"/>
        <w:ind w:left="720" w:hanging="720"/>
        <w:textAlignment w:val="baseline"/>
        <w:rPr>
          <w:color w:val="auto"/>
          <w:sz w:val="24"/>
          <w:lang w:eastAsia="en-US"/>
        </w:rPr>
      </w:pPr>
    </w:p>
    <w:p w:rsidR="001B06A9" w:rsidRDefault="001B06A9" w:rsidP="001B06A9">
      <w:pPr>
        <w:overflowPunct w:val="0"/>
        <w:autoSpaceDE w:val="0"/>
        <w:autoSpaceDN w:val="0"/>
        <w:adjustRightInd w:val="0"/>
        <w:spacing w:line="276"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5 חודשים  הכל בכפוף לתנאים כמפורט במסמכי המכרז. </w:t>
      </w:r>
    </w:p>
    <w:p w:rsidR="001B06A9" w:rsidRDefault="001B06A9" w:rsidP="001B06A9">
      <w:pPr>
        <w:overflowPunct w:val="0"/>
        <w:autoSpaceDE w:val="0"/>
        <w:autoSpaceDN w:val="0"/>
        <w:adjustRightInd w:val="0"/>
        <w:spacing w:line="276" w:lineRule="auto"/>
        <w:ind w:left="720"/>
        <w:textAlignment w:val="baseline"/>
        <w:rPr>
          <w:rFonts w:ascii="David" w:hAnsi="David" w:hint="cs"/>
          <w:color w:val="auto"/>
          <w:sz w:val="24"/>
          <w:rtl/>
          <w:lang w:eastAsia="en-US"/>
        </w:rPr>
      </w:pPr>
      <w:r>
        <w:rPr>
          <w:rFonts w:ascii="David" w:hAnsi="David" w:hint="cs"/>
          <w:color w:val="auto"/>
          <w:sz w:val="24"/>
          <w:rtl/>
          <w:lang w:eastAsia="en-US"/>
        </w:rPr>
        <w:t xml:space="preserve">המכרז מחולק למספר שלבים כאשר השלב הראשון כלומר העבודה על המיסעה מהכניסה ועד לכיכר </w:t>
      </w:r>
    </w:p>
    <w:p w:rsidR="001B06A9" w:rsidRDefault="001B06A9" w:rsidP="001B06A9">
      <w:pPr>
        <w:overflowPunct w:val="0"/>
        <w:autoSpaceDE w:val="0"/>
        <w:autoSpaceDN w:val="0"/>
        <w:adjustRightInd w:val="0"/>
        <w:spacing w:line="276" w:lineRule="auto"/>
        <w:ind w:left="720"/>
        <w:textAlignment w:val="baseline"/>
        <w:rPr>
          <w:rFonts w:ascii="David" w:hAnsi="David" w:hint="cs"/>
          <w:color w:val="auto"/>
          <w:sz w:val="24"/>
          <w:lang w:eastAsia="en-US"/>
        </w:rPr>
      </w:pPr>
      <w:r>
        <w:rPr>
          <w:rFonts w:ascii="David" w:hAnsi="David" w:hint="cs"/>
          <w:color w:val="auto"/>
          <w:sz w:val="24"/>
          <w:rtl/>
          <w:lang w:eastAsia="en-US"/>
        </w:rPr>
        <w:t>תמשך 1 חודש (לא תתאפשר לסגור את הכביש מעבר למועד זה )</w:t>
      </w:r>
    </w:p>
    <w:p w:rsidR="001B06A9" w:rsidRDefault="001B06A9" w:rsidP="001B06A9">
      <w:pPr>
        <w:overflowPunct w:val="0"/>
        <w:autoSpaceDE w:val="0"/>
        <w:autoSpaceDN w:val="0"/>
        <w:adjustRightInd w:val="0"/>
        <w:spacing w:line="276" w:lineRule="auto"/>
        <w:ind w:left="720"/>
        <w:textAlignment w:val="baseline"/>
        <w:rPr>
          <w:rFonts w:ascii="David" w:hAnsi="David" w:hint="cs"/>
          <w:color w:val="auto"/>
          <w:sz w:val="24"/>
          <w:rtl/>
          <w:lang w:eastAsia="en-US"/>
        </w:rPr>
      </w:pPr>
      <w:r>
        <w:rPr>
          <w:rFonts w:ascii="David" w:hAnsi="David" w:hint="cs"/>
          <w:color w:val="auto"/>
          <w:sz w:val="24"/>
          <w:rtl/>
          <w:lang w:eastAsia="en-US"/>
        </w:rPr>
        <w:t>העבודה על הכיכר תמשך 3 שבועות.</w:t>
      </w:r>
    </w:p>
    <w:p w:rsidR="001B06A9" w:rsidRDefault="001B06A9" w:rsidP="001B06A9">
      <w:pPr>
        <w:overflowPunct w:val="0"/>
        <w:autoSpaceDE w:val="0"/>
        <w:autoSpaceDN w:val="0"/>
        <w:adjustRightInd w:val="0"/>
        <w:spacing w:line="276" w:lineRule="auto"/>
        <w:ind w:left="720"/>
        <w:textAlignment w:val="baseline"/>
        <w:rPr>
          <w:rFonts w:ascii="David" w:hAnsi="David" w:hint="cs"/>
          <w:color w:val="auto"/>
          <w:sz w:val="24"/>
          <w:rtl/>
          <w:lang w:eastAsia="en-US"/>
        </w:rPr>
      </w:pPr>
      <w:r>
        <w:rPr>
          <w:rFonts w:ascii="David" w:hAnsi="David" w:hint="cs"/>
          <w:color w:val="auto"/>
          <w:sz w:val="24"/>
          <w:rtl/>
          <w:lang w:eastAsia="en-US"/>
        </w:rPr>
        <w:t>עבודה על המשך הכביש מככיר שושנה ועד לכניסה האחורית של בית החולים (לא כולל ).</w:t>
      </w:r>
    </w:p>
    <w:p w:rsidR="001B06A9" w:rsidRDefault="001B06A9" w:rsidP="001B06A9">
      <w:pPr>
        <w:overflowPunct w:val="0"/>
        <w:autoSpaceDE w:val="0"/>
        <w:autoSpaceDN w:val="0"/>
        <w:adjustRightInd w:val="0"/>
        <w:spacing w:line="276" w:lineRule="auto"/>
        <w:ind w:left="720"/>
        <w:textAlignment w:val="baseline"/>
        <w:rPr>
          <w:rFonts w:ascii="David" w:hAnsi="David" w:hint="cs"/>
          <w:color w:val="auto"/>
          <w:sz w:val="24"/>
          <w:rtl/>
          <w:lang w:eastAsia="en-US"/>
        </w:rPr>
      </w:pPr>
      <w:r>
        <w:rPr>
          <w:rFonts w:ascii="David" w:hAnsi="David" w:hint="cs"/>
          <w:color w:val="auto"/>
          <w:sz w:val="24"/>
          <w:rtl/>
          <w:lang w:eastAsia="en-US"/>
        </w:rPr>
        <w:t>שיפוץ מדרכות וחזית מבנה של רחוב הרצוג-חודשיים</w:t>
      </w: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13.10.2021בשעה 10:00מקום המפגש: במשרדי אגף תשתית בינוי ואחזקה ברחוב ויצמן 6 בבנין החניון הדרומי, קומה 1 (טל 03-6974741), השתתפות בכנס המציעים היא חובה. אי השתתפות בכנס מציעים עלולה לגרום לפסילת ההצעה לפי שיקול דעתו של התאגיד.  </w:t>
      </w: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ab/>
      </w:r>
    </w:p>
    <w:p w:rsidR="001B06A9" w:rsidRDefault="001B06A9" w:rsidP="001B06A9">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רשום אצל רשם הקבלנים בסיווג 200 ג' 4 ומעלה.</w:t>
      </w:r>
    </w:p>
    <w:p w:rsidR="001B06A9" w:rsidRDefault="001B06A9" w:rsidP="001B06A9">
      <w:pPr>
        <w:spacing w:line="240" w:lineRule="auto"/>
        <w:ind w:right="1080"/>
        <w:rPr>
          <w:color w:val="auto"/>
          <w:sz w:val="20"/>
          <w:lang w:eastAsia="en-US"/>
        </w:rPr>
      </w:pPr>
    </w:p>
    <w:p w:rsidR="001B06A9" w:rsidRDefault="001B06A9" w:rsidP="001B06A9">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ביצע והשלים ב- 7 השנים האחרונות פרוייקט אחד לפחות אשר מורכבותו הטכנולוגית  והלוגיסטי דומה לזה של פרויקט נשוא המכרז, לרבות ביצוע העבודה בפרויקט זה באזורים מאוכלסים בצפיפות והיקפו הכספי של הפרוייקט כאמור לפחות בהיקפו של הפרוייקט נשוא מכרז זה.</w:t>
      </w:r>
    </w:p>
    <w:p w:rsidR="001B06A9" w:rsidRDefault="001B06A9" w:rsidP="001B06A9">
      <w:pPr>
        <w:pStyle w:val="ListParagraph"/>
        <w:rPr>
          <w:sz w:val="20"/>
          <w:lang w:eastAsia="en-US"/>
        </w:rPr>
      </w:pPr>
    </w:p>
    <w:p w:rsidR="001B06A9" w:rsidRDefault="001B06A9" w:rsidP="001B06A9">
      <w:p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או </w:t>
      </w:r>
    </w:p>
    <w:p w:rsidR="001B06A9" w:rsidRDefault="001B06A9" w:rsidP="001B06A9">
      <w:p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 xml:space="preserve">המציע ביצע והשלים ב- 7 השנים האחרונות שני פרויקטים לפחות אשר מורכבותם הטכנולוגית  והלוגיסטי דומה לאלו של פרויקט נשוא המכרז, לרבות ביצוע העבודות בפרויקטים אלו באזורים מאוכלסים בצפיפות והיקפם הכספי של כל אחד מהם לפחות מחצית מעלות הכספית של פרויקט נשוא המכרז </w:t>
      </w:r>
    </w:p>
    <w:p w:rsidR="001B06A9" w:rsidRDefault="001B06A9" w:rsidP="001B06A9">
      <w:pPr>
        <w:spacing w:line="240" w:lineRule="auto"/>
        <w:ind w:left="1080"/>
        <w:rPr>
          <w:rFonts w:hint="cs"/>
          <w:color w:val="auto"/>
          <w:sz w:val="20"/>
          <w:rtl/>
          <w:lang w:eastAsia="en-US"/>
        </w:rPr>
      </w:pPr>
    </w:p>
    <w:p w:rsidR="001B06A9" w:rsidRDefault="001B06A9" w:rsidP="001B06A9">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מעסיק כעובד אינטגרלי  מנהל עבודה בעל רישיון לפחות שעבר הדרכה לתפקיד נאמן בטיחות והינו בעל ניסיון מוכח בניהול   הפרוייקטים כמפורט בסעיף 5.2 .</w:t>
      </w:r>
    </w:p>
    <w:p w:rsidR="001B06A9" w:rsidRDefault="001B06A9" w:rsidP="001B06A9">
      <w:pPr>
        <w:overflowPunct w:val="0"/>
        <w:autoSpaceDE w:val="0"/>
        <w:autoSpaceDN w:val="0"/>
        <w:adjustRightInd w:val="0"/>
        <w:spacing w:line="240" w:lineRule="auto"/>
        <w:ind w:left="1080" w:right="1080"/>
        <w:textAlignment w:val="baseline"/>
        <w:rPr>
          <w:color w:val="auto"/>
          <w:sz w:val="20"/>
          <w:lang w:eastAsia="en-US"/>
        </w:rPr>
      </w:pPr>
    </w:p>
    <w:p w:rsidR="001B06A9" w:rsidRDefault="001B06A9" w:rsidP="001B06A9">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lastRenderedPageBreak/>
        <w:t>המציע מעסיק, כשכיר או כנותן שירות, ממונה בטיחות בעבודה בעל הסמכה תקפה מהמוסד לבטיחות וגהות שהינו בעל ניסיון מוכח בניהול הבטיחות  את הפרוייקטים כמפורט בסעיף 5.2 .</w:t>
      </w:r>
    </w:p>
    <w:p w:rsidR="001B06A9" w:rsidRDefault="001B06A9" w:rsidP="001B06A9">
      <w:pPr>
        <w:overflowPunct w:val="0"/>
        <w:autoSpaceDE w:val="0"/>
        <w:autoSpaceDN w:val="0"/>
        <w:adjustRightInd w:val="0"/>
        <w:spacing w:line="276" w:lineRule="auto"/>
        <w:ind w:left="1440" w:hanging="720"/>
        <w:textAlignment w:val="baseline"/>
        <w:rPr>
          <w:color w:val="auto"/>
          <w:sz w:val="20"/>
          <w:lang w:eastAsia="en-US"/>
        </w:rPr>
      </w:pPr>
    </w:p>
    <w:p w:rsidR="001B06A9" w:rsidRDefault="001B06A9" w:rsidP="001B06A9">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התשל"ו </w:t>
      </w:r>
      <w:r>
        <w:rPr>
          <w:color w:val="auto"/>
          <w:sz w:val="20"/>
          <w:lang w:eastAsia="en-US"/>
        </w:rPr>
        <w:t>–</w:t>
      </w:r>
      <w:r>
        <w:rPr>
          <w:rFonts w:hint="cs"/>
          <w:color w:val="auto"/>
          <w:sz w:val="20"/>
          <w:rtl/>
          <w:lang w:eastAsia="en-US"/>
        </w:rPr>
        <w:t xml:space="preserve"> 1976.</w:t>
      </w:r>
    </w:p>
    <w:p w:rsidR="001B06A9" w:rsidRDefault="001B06A9" w:rsidP="001B06A9">
      <w:pPr>
        <w:spacing w:line="240" w:lineRule="auto"/>
        <w:ind w:left="1080" w:right="1080"/>
        <w:rPr>
          <w:rFonts w:hint="cs"/>
          <w:color w:val="auto"/>
          <w:sz w:val="20"/>
          <w:rtl/>
          <w:lang w:eastAsia="en-US"/>
        </w:rPr>
      </w:pPr>
    </w:p>
    <w:p w:rsidR="001B06A9" w:rsidRDefault="001B06A9" w:rsidP="001B06A9">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1B06A9" w:rsidRDefault="001B06A9" w:rsidP="001B06A9">
      <w:pPr>
        <w:overflowPunct w:val="0"/>
        <w:autoSpaceDE w:val="0"/>
        <w:autoSpaceDN w:val="0"/>
        <w:adjustRightInd w:val="0"/>
        <w:spacing w:line="276" w:lineRule="auto"/>
        <w:ind w:left="1440" w:hanging="720"/>
        <w:textAlignment w:val="baseline"/>
        <w:rPr>
          <w:rFonts w:hint="cs"/>
          <w:color w:val="auto"/>
          <w:sz w:val="20"/>
          <w:rtl/>
          <w:lang w:eastAsia="en-US"/>
        </w:rPr>
      </w:pPr>
    </w:p>
    <w:p w:rsidR="001B06A9" w:rsidRDefault="001B06A9" w:rsidP="001B06A9">
      <w:pPr>
        <w:overflowPunct w:val="0"/>
        <w:autoSpaceDE w:val="0"/>
        <w:autoSpaceDN w:val="0"/>
        <w:adjustRightInd w:val="0"/>
        <w:spacing w:line="276" w:lineRule="auto"/>
        <w:ind w:left="1440" w:hanging="720"/>
        <w:textAlignment w:val="baseline"/>
        <w:rPr>
          <w:rFonts w:hint="cs"/>
          <w:color w:val="auto"/>
          <w:sz w:val="20"/>
          <w:rtl/>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המועד האחרון להכנסת ההצעות לתיבת המכרזים האלקטרונית נקבע ל- 24.11.2021 בשעה 12:00, והכל כמפורט במסמכי במכרז. </w:t>
      </w:r>
    </w:p>
    <w:p w:rsidR="001B06A9" w:rsidRDefault="001B06A9" w:rsidP="001B06A9">
      <w:pPr>
        <w:overflowPunct w:val="0"/>
        <w:autoSpaceDE w:val="0"/>
        <w:autoSpaceDN w:val="0"/>
        <w:adjustRightInd w:val="0"/>
        <w:spacing w:line="276" w:lineRule="auto"/>
        <w:ind w:left="720" w:hanging="720"/>
        <w:textAlignment w:val="baseline"/>
        <w:rPr>
          <w:color w:val="auto"/>
          <w:sz w:val="24"/>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המעניקה/ות את מירב היתרונות לתאגיד על פי אמות המידה כמפורט במכרז.</w:t>
      </w: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p>
    <w:p w:rsidR="001B06A9" w:rsidRDefault="001B06A9" w:rsidP="001B06A9">
      <w:pPr>
        <w:overflowPunct w:val="0"/>
        <w:autoSpaceDE w:val="0"/>
        <w:autoSpaceDN w:val="0"/>
        <w:adjustRightInd w:val="0"/>
        <w:spacing w:line="276" w:lineRule="auto"/>
        <w:ind w:left="720" w:hanging="720"/>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1B06A9" w:rsidRDefault="001B06A9" w:rsidP="001B06A9">
      <w:pPr>
        <w:overflowPunct w:val="0"/>
        <w:autoSpaceDE w:val="0"/>
        <w:autoSpaceDN w:val="0"/>
        <w:adjustRightInd w:val="0"/>
        <w:spacing w:line="276" w:lineRule="auto"/>
        <w:ind w:left="720" w:hanging="720"/>
        <w:jc w:val="left"/>
        <w:textAlignment w:val="baseline"/>
        <w:rPr>
          <w:rFonts w:hint="cs"/>
          <w:color w:val="auto"/>
          <w:sz w:val="24"/>
          <w:rtl/>
          <w:lang w:eastAsia="en-US"/>
        </w:rPr>
      </w:pPr>
    </w:p>
    <w:p w:rsidR="001B06A9" w:rsidRDefault="001B06A9" w:rsidP="001B06A9">
      <w:pPr>
        <w:tabs>
          <w:tab w:val="left" w:pos="284"/>
        </w:tabs>
        <w:overflowPunct w:val="0"/>
        <w:autoSpaceDE w:val="0"/>
        <w:autoSpaceDN w:val="0"/>
        <w:adjustRightInd w:val="0"/>
        <w:spacing w:line="276"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1B06A9" w:rsidRDefault="001B06A9" w:rsidP="001B06A9">
      <w:pPr>
        <w:tabs>
          <w:tab w:val="left" w:pos="284"/>
        </w:tabs>
        <w:overflowPunct w:val="0"/>
        <w:autoSpaceDE w:val="0"/>
        <w:autoSpaceDN w:val="0"/>
        <w:adjustRightInd w:val="0"/>
        <w:spacing w:line="276" w:lineRule="auto"/>
        <w:ind w:left="425" w:right="-142" w:hanging="720"/>
        <w:jc w:val="left"/>
        <w:textAlignment w:val="baseline"/>
        <w:rPr>
          <w:rFonts w:hint="cs"/>
          <w:b/>
          <w:bCs/>
          <w:color w:val="auto"/>
          <w:sz w:val="44"/>
          <w:szCs w:val="44"/>
          <w:rtl/>
          <w:lang w:eastAsia="en-US"/>
        </w:rPr>
      </w:pPr>
    </w:p>
    <w:p w:rsidR="001B06A9" w:rsidRDefault="001B06A9" w:rsidP="001B06A9">
      <w:pPr>
        <w:tabs>
          <w:tab w:val="left" w:pos="284"/>
        </w:tabs>
        <w:overflowPunct w:val="0"/>
        <w:autoSpaceDE w:val="0"/>
        <w:autoSpaceDN w:val="0"/>
        <w:adjustRightInd w:val="0"/>
        <w:spacing w:line="276" w:lineRule="auto"/>
        <w:ind w:left="425" w:right="-142" w:hanging="720"/>
        <w:jc w:val="left"/>
        <w:textAlignment w:val="baseline"/>
        <w:rPr>
          <w:rFonts w:hint="cs"/>
          <w:b/>
          <w:bCs/>
          <w:color w:val="auto"/>
          <w:sz w:val="44"/>
          <w:szCs w:val="44"/>
          <w:rtl/>
          <w:lang w:eastAsia="en-US"/>
        </w:rPr>
      </w:pPr>
    </w:p>
    <w:p w:rsidR="001B06A9" w:rsidRDefault="001B06A9" w:rsidP="001B06A9">
      <w:pPr>
        <w:tabs>
          <w:tab w:val="left" w:pos="284"/>
        </w:tabs>
        <w:overflowPunct w:val="0"/>
        <w:autoSpaceDE w:val="0"/>
        <w:autoSpaceDN w:val="0"/>
        <w:adjustRightInd w:val="0"/>
        <w:spacing w:line="276" w:lineRule="auto"/>
        <w:ind w:left="425" w:right="-142" w:hanging="720"/>
        <w:jc w:val="left"/>
        <w:textAlignment w:val="baseline"/>
        <w:rPr>
          <w:rFonts w:hint="cs"/>
          <w:b/>
          <w:bCs/>
          <w:color w:val="auto"/>
          <w:sz w:val="44"/>
          <w:szCs w:val="44"/>
          <w:rtl/>
          <w:lang w:eastAsia="en-US"/>
        </w:rPr>
      </w:pPr>
    </w:p>
    <w:p w:rsidR="001C56FD" w:rsidRDefault="001C56FD">
      <w:pPr>
        <w:rPr>
          <w:rFonts w:hint="cs"/>
        </w:rPr>
      </w:pPr>
    </w:p>
    <w:sectPr w:rsidR="001C56FD"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A9"/>
    <w:rsid w:val="001B06A9"/>
    <w:rsid w:val="001C56FD"/>
    <w:rsid w:val="00484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978F-3446-4A93-9691-9F4A40C2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9"/>
    <w:pPr>
      <w:bidi/>
      <w:spacing w:after="0" w:line="360" w:lineRule="atLeast"/>
      <w:jc w:val="both"/>
    </w:pPr>
    <w:rPr>
      <w:rFonts w:ascii="Times New Roman" w:eastAsia="Times New Roman" w:hAnsi="Times New Roman" w:cs="David"/>
      <w:noProof/>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B06A9"/>
    <w:rPr>
      <w:rFonts w:ascii="Courier" w:hAnsi="Courier"/>
      <w:noProof/>
      <w:lang w:eastAsia="zh-CN"/>
    </w:rPr>
  </w:style>
  <w:style w:type="paragraph" w:styleId="ListParagraph">
    <w:name w:val="List Paragraph"/>
    <w:basedOn w:val="Normal"/>
    <w:link w:val="ListParagraphChar"/>
    <w:uiPriority w:val="34"/>
    <w:qFormat/>
    <w:rsid w:val="001B06A9"/>
    <w:pPr>
      <w:bidi w:val="0"/>
      <w:spacing w:line="240" w:lineRule="auto"/>
      <w:ind w:left="720"/>
      <w:jc w:val="left"/>
    </w:pPr>
    <w:rPr>
      <w:rFonts w:ascii="Courier" w:eastAsiaTheme="minorHAnsi" w:hAnsi="Courier" w:cstheme="minorBidi"/>
      <w:color w:val="auto"/>
      <w:szCs w:val="22"/>
      <w:lang w:eastAsia="zh-CN"/>
    </w:rPr>
  </w:style>
  <w:style w:type="character" w:styleId="Hyperlink">
    <w:name w:val="Hyperlink"/>
    <w:basedOn w:val="DefaultParagraphFont"/>
    <w:uiPriority w:val="99"/>
    <w:semiHidden/>
    <w:unhideWhenUsed/>
    <w:rsid w:val="001B0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B4018-1DC4-4AEA-86C3-D0FEBFDC3E78}"/>
</file>

<file path=customXml/itemProps2.xml><?xml version="1.0" encoding="utf-8"?>
<ds:datastoreItem xmlns:ds="http://schemas.openxmlformats.org/officeDocument/2006/customXml" ds:itemID="{D447A23D-C8D7-4302-9A66-EF80D1F28E82}"/>
</file>

<file path=customXml/itemProps3.xml><?xml version="1.0" encoding="utf-8"?>
<ds:datastoreItem xmlns:ds="http://schemas.openxmlformats.org/officeDocument/2006/customXml" ds:itemID="{E0B2B00F-07AF-4241-85AE-5D471A5B04DD}"/>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2021-10-04T05:22:00Z</dcterms:created>
  <dcterms:modified xsi:type="dcterms:W3CDTF">2021-10-04T05:22:00Z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