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70" w:rsidRPr="00140670" w:rsidRDefault="00140670" w:rsidP="00140670">
      <w:pPr>
        <w:spacing w:line="360" w:lineRule="atLeast"/>
        <w:jc w:val="center"/>
        <w:rPr>
          <w:rFonts w:cs="David"/>
          <w:b/>
          <w:bCs/>
          <w:noProof/>
          <w:sz w:val="44"/>
          <w:szCs w:val="44"/>
          <w:u w:val="single"/>
          <w:lang w:eastAsia="en-US"/>
        </w:rPr>
      </w:pPr>
      <w:r w:rsidRPr="00140670">
        <w:rPr>
          <w:rFonts w:cs="David" w:hint="cs"/>
          <w:b/>
          <w:bCs/>
          <w:noProof/>
          <w:sz w:val="44"/>
          <w:szCs w:val="44"/>
          <w:u w:val="single"/>
          <w:rtl/>
          <w:lang w:eastAsia="en-US"/>
        </w:rPr>
        <w:t>מודעה</w:t>
      </w:r>
    </w:p>
    <w:p w:rsidR="00140670" w:rsidRPr="00140670" w:rsidRDefault="00140670" w:rsidP="00140670">
      <w:pPr>
        <w:jc w:val="center"/>
        <w:rPr>
          <w:rFonts w:ascii="Calibri" w:eastAsia="Calibri" w:hAnsi="Calibri" w:cs="David"/>
          <w:b/>
          <w:bCs/>
          <w:sz w:val="28"/>
          <w:szCs w:val="28"/>
          <w:u w:val="single"/>
          <w:rtl/>
          <w:lang w:eastAsia="en-US"/>
        </w:rPr>
      </w:pPr>
      <w:r w:rsidRPr="00140670">
        <w:rPr>
          <w:rFonts w:ascii="Calibri" w:eastAsia="Calibri" w:hAnsi="Calibri" w:cs="David" w:hint="cs"/>
          <w:b/>
          <w:bCs/>
          <w:sz w:val="28"/>
          <w:szCs w:val="28"/>
          <w:u w:val="single"/>
          <w:rtl/>
          <w:lang w:eastAsia="en-US"/>
        </w:rPr>
        <w:t>תאגיד</w:t>
      </w:r>
      <w:r w:rsidRPr="00140670">
        <w:rPr>
          <w:rFonts w:ascii="Calibri" w:eastAsia="Calibri" w:hAnsi="Calibri" w:cs="David"/>
          <w:b/>
          <w:bCs/>
          <w:sz w:val="28"/>
          <w:szCs w:val="28"/>
          <w:u w:val="single"/>
          <w:rtl/>
          <w:lang w:eastAsia="en-US"/>
        </w:rPr>
        <w:t xml:space="preserve"> </w:t>
      </w:r>
      <w:r w:rsidRPr="00140670">
        <w:rPr>
          <w:rFonts w:ascii="Calibri" w:eastAsia="Calibri" w:hAnsi="Calibri" w:cs="David" w:hint="cs"/>
          <w:b/>
          <w:bCs/>
          <w:sz w:val="28"/>
          <w:szCs w:val="28"/>
          <w:u w:val="single"/>
          <w:rtl/>
          <w:lang w:eastAsia="en-US"/>
        </w:rPr>
        <w:t>הבריאות</w:t>
      </w:r>
      <w:r w:rsidRPr="00140670">
        <w:rPr>
          <w:rFonts w:ascii="Calibri" w:eastAsia="Calibri" w:hAnsi="Calibri" w:cs="David"/>
          <w:b/>
          <w:bCs/>
          <w:sz w:val="28"/>
          <w:szCs w:val="28"/>
          <w:u w:val="single"/>
          <w:rtl/>
          <w:lang w:eastAsia="en-US"/>
        </w:rPr>
        <w:t xml:space="preserve"> </w:t>
      </w:r>
      <w:r w:rsidRPr="00140670">
        <w:rPr>
          <w:rFonts w:ascii="Calibri" w:eastAsia="Calibri" w:hAnsi="Calibri" w:cs="David" w:hint="cs"/>
          <w:b/>
          <w:bCs/>
          <w:sz w:val="28"/>
          <w:szCs w:val="28"/>
          <w:u w:val="single"/>
          <w:rtl/>
          <w:lang w:eastAsia="en-US"/>
        </w:rPr>
        <w:t>ליד</w:t>
      </w:r>
      <w:r w:rsidRPr="00140670">
        <w:rPr>
          <w:rFonts w:ascii="Calibri" w:eastAsia="Calibri" w:hAnsi="Calibri" w:cs="David"/>
          <w:b/>
          <w:bCs/>
          <w:sz w:val="28"/>
          <w:szCs w:val="28"/>
          <w:u w:val="single"/>
          <w:rtl/>
          <w:lang w:eastAsia="en-US"/>
        </w:rPr>
        <w:t xml:space="preserve"> </w:t>
      </w:r>
      <w:r w:rsidRPr="00140670">
        <w:rPr>
          <w:rFonts w:ascii="Calibri" w:eastAsia="Calibri" w:hAnsi="Calibri" w:cs="David" w:hint="cs"/>
          <w:b/>
          <w:bCs/>
          <w:sz w:val="28"/>
          <w:szCs w:val="28"/>
          <w:u w:val="single"/>
          <w:rtl/>
          <w:lang w:eastAsia="en-US"/>
        </w:rPr>
        <w:t>המרכז</w:t>
      </w:r>
      <w:r w:rsidRPr="00140670">
        <w:rPr>
          <w:rFonts w:ascii="Calibri" w:eastAsia="Calibri" w:hAnsi="Calibri" w:cs="David"/>
          <w:b/>
          <w:bCs/>
          <w:sz w:val="28"/>
          <w:szCs w:val="28"/>
          <w:u w:val="single"/>
          <w:rtl/>
          <w:lang w:eastAsia="en-US"/>
        </w:rPr>
        <w:t xml:space="preserve"> </w:t>
      </w:r>
      <w:r w:rsidRPr="00140670">
        <w:rPr>
          <w:rFonts w:ascii="Calibri" w:eastAsia="Calibri" w:hAnsi="Calibri" w:cs="David" w:hint="cs"/>
          <w:b/>
          <w:bCs/>
          <w:sz w:val="28"/>
          <w:szCs w:val="28"/>
          <w:u w:val="single"/>
          <w:rtl/>
          <w:lang w:eastAsia="en-US"/>
        </w:rPr>
        <w:t>הרפואי</w:t>
      </w:r>
      <w:r w:rsidRPr="00140670">
        <w:rPr>
          <w:rFonts w:ascii="Calibri" w:eastAsia="Calibri" w:hAnsi="Calibri" w:cs="David"/>
          <w:b/>
          <w:bCs/>
          <w:sz w:val="28"/>
          <w:szCs w:val="28"/>
          <w:u w:val="single"/>
          <w:rtl/>
          <w:lang w:eastAsia="en-US"/>
        </w:rPr>
        <w:t xml:space="preserve"> </w:t>
      </w:r>
      <w:r w:rsidRPr="00140670">
        <w:rPr>
          <w:rFonts w:ascii="Calibri" w:eastAsia="Calibri" w:hAnsi="Calibri" w:cs="David" w:hint="cs"/>
          <w:b/>
          <w:bCs/>
          <w:sz w:val="28"/>
          <w:szCs w:val="28"/>
          <w:u w:val="single"/>
          <w:rtl/>
          <w:lang w:eastAsia="en-US"/>
        </w:rPr>
        <w:t>תל</w:t>
      </w:r>
      <w:r w:rsidRPr="00140670">
        <w:rPr>
          <w:rFonts w:ascii="Calibri" w:eastAsia="Calibri" w:hAnsi="Calibri" w:cs="David"/>
          <w:b/>
          <w:bCs/>
          <w:sz w:val="28"/>
          <w:szCs w:val="28"/>
          <w:u w:val="single"/>
          <w:rtl/>
          <w:lang w:eastAsia="en-US"/>
        </w:rPr>
        <w:t xml:space="preserve"> </w:t>
      </w:r>
      <w:r w:rsidRPr="00140670">
        <w:rPr>
          <w:rFonts w:ascii="Calibri" w:eastAsia="Calibri" w:hAnsi="Calibri" w:cs="David" w:hint="cs"/>
          <w:b/>
          <w:bCs/>
          <w:sz w:val="28"/>
          <w:szCs w:val="28"/>
          <w:u w:val="single"/>
          <w:rtl/>
          <w:lang w:eastAsia="en-US"/>
        </w:rPr>
        <w:t xml:space="preserve">אביב </w:t>
      </w:r>
    </w:p>
    <w:p w:rsidR="00140670" w:rsidRDefault="00140670" w:rsidP="00140670">
      <w:pPr>
        <w:spacing w:after="120"/>
        <w:jc w:val="center"/>
        <w:rPr>
          <w:rFonts w:cs="David"/>
          <w:b/>
          <w:bCs/>
          <w:sz w:val="28"/>
          <w:szCs w:val="28"/>
          <w:u w:val="single"/>
          <w:rtl/>
        </w:rPr>
      </w:pPr>
    </w:p>
    <w:p w:rsidR="00140670" w:rsidRDefault="00140670" w:rsidP="00140670">
      <w:pPr>
        <w:spacing w:after="120"/>
        <w:jc w:val="center"/>
        <w:rPr>
          <w:rFonts w:cs="David"/>
          <w:b/>
          <w:bCs/>
          <w:sz w:val="28"/>
          <w:szCs w:val="28"/>
          <w:u w:val="single"/>
        </w:rPr>
      </w:pPr>
      <w:r>
        <w:rPr>
          <w:rFonts w:cs="David" w:hint="cs"/>
          <w:b/>
          <w:bCs/>
          <w:sz w:val="28"/>
          <w:szCs w:val="28"/>
          <w:u w:val="single"/>
          <w:rtl/>
        </w:rPr>
        <w:t>מכרז פומבי מספר106-2021 לקבלת הצעות לאספקת והתקנת חדרי ניתוח מתועשים, מנשאים/ זרועות אספקה עיליים (</w:t>
      </w:r>
      <w:proofErr w:type="spellStart"/>
      <w:r>
        <w:rPr>
          <w:rFonts w:cs="David" w:hint="cs"/>
          <w:b/>
          <w:bCs/>
          <w:sz w:val="28"/>
          <w:szCs w:val="28"/>
          <w:u w:val="single"/>
          <w:rtl/>
        </w:rPr>
        <w:t>בומים</w:t>
      </w:r>
      <w:proofErr w:type="spellEnd"/>
      <w:r>
        <w:rPr>
          <w:rFonts w:cs="David" w:hint="cs"/>
          <w:b/>
          <w:bCs/>
          <w:sz w:val="28"/>
          <w:szCs w:val="28"/>
          <w:u w:val="single"/>
          <w:rtl/>
        </w:rPr>
        <w:t xml:space="preserve">) לחדרי ניתוח,  מנורות לחדרי ניתוח   מערכת אינטגרטיבית לשליטה ובקרה לחדר ניתוח עבור המרכז הרפואי תל אביב ע"ש </w:t>
      </w:r>
      <w:proofErr w:type="spellStart"/>
      <w:r>
        <w:rPr>
          <w:rFonts w:cs="David" w:hint="cs"/>
          <w:b/>
          <w:bCs/>
          <w:sz w:val="28"/>
          <w:szCs w:val="28"/>
          <w:u w:val="single"/>
          <w:rtl/>
        </w:rPr>
        <w:t>סוראסקי</w:t>
      </w:r>
      <w:proofErr w:type="spellEnd"/>
    </w:p>
    <w:p w:rsidR="00140670" w:rsidRDefault="00140670" w:rsidP="00140670">
      <w:pPr>
        <w:numPr>
          <w:ilvl w:val="0"/>
          <w:numId w:val="1"/>
        </w:numPr>
        <w:spacing w:after="120"/>
        <w:ind w:left="0" w:hanging="720"/>
        <w:jc w:val="both"/>
        <w:rPr>
          <w:rFonts w:cs="David" w:hint="cs"/>
          <w:sz w:val="28"/>
          <w:szCs w:val="28"/>
          <w:rtl/>
        </w:rPr>
      </w:pPr>
      <w:r>
        <w:rPr>
          <w:rFonts w:cs="David" w:hint="cs"/>
          <w:sz w:val="28"/>
          <w:szCs w:val="28"/>
          <w:rtl/>
        </w:rPr>
        <w:t>תאגיד הבריאות ליד המרכז הרפואי תל אביב  (</w:t>
      </w:r>
      <w:proofErr w:type="spellStart"/>
      <w:r>
        <w:rPr>
          <w:rFonts w:cs="David" w:hint="cs"/>
          <w:sz w:val="28"/>
          <w:szCs w:val="28"/>
          <w:rtl/>
        </w:rPr>
        <w:t>ע"ר</w:t>
      </w:r>
      <w:proofErr w:type="spellEnd"/>
      <w:r>
        <w:rPr>
          <w:rFonts w:cs="David" w:hint="cs"/>
          <w:sz w:val="28"/>
          <w:szCs w:val="28"/>
          <w:rtl/>
        </w:rPr>
        <w:t>) (להלן:" תאגיד הבריאות" או "המזמין") מזמין בזאת להגיש הצעות לאספקת טובין כמצוין בכותרות ובגוף פניה זו, והכל עפ"י המפורט במסמכי פניה זו על נספחיה.</w:t>
      </w:r>
    </w:p>
    <w:p w:rsidR="00140670" w:rsidRDefault="00140670" w:rsidP="00140670">
      <w:pPr>
        <w:numPr>
          <w:ilvl w:val="0"/>
          <w:numId w:val="1"/>
        </w:numPr>
        <w:spacing w:after="120"/>
        <w:ind w:left="0" w:hanging="720"/>
        <w:jc w:val="both"/>
        <w:rPr>
          <w:rFonts w:cs="David"/>
          <w:sz w:val="28"/>
          <w:szCs w:val="28"/>
        </w:rPr>
      </w:pPr>
      <w:r>
        <w:rPr>
          <w:rFonts w:asciiTheme="minorBidi" w:eastAsia="Calibri" w:hAnsiTheme="minorBidi" w:cs="David" w:hint="cs"/>
          <w:sz w:val="28"/>
          <w:szCs w:val="28"/>
          <w:rtl/>
          <w:lang w:eastAsia="en-US"/>
        </w:rPr>
        <w:t xml:space="preserve">את מסמכי המכרז יוריד המציע באמצעות קישור, מאתר האינטרנט של המזמינה שכתובתו </w:t>
      </w:r>
      <w:hyperlink r:id="rId5" w:history="1">
        <w:r>
          <w:rPr>
            <w:rStyle w:val="Hyperlink"/>
            <w:rFonts w:asciiTheme="minorBidi" w:eastAsia="Calibri" w:hAnsiTheme="minorBidi" w:cs="David"/>
            <w:color w:val="0000FF"/>
            <w:sz w:val="28"/>
            <w:szCs w:val="28"/>
            <w:lang w:eastAsia="en-US"/>
          </w:rPr>
          <w:t>www.tasmc.org.il/michrazim/Pages/michrazim-Health-Corp.aspx</w:t>
        </w:r>
      </w:hyperlink>
      <w:r>
        <w:rPr>
          <w:rFonts w:asciiTheme="minorBidi" w:eastAsia="Calibri" w:hAnsiTheme="minorBidi" w:cs="David" w:hint="cs"/>
          <w:sz w:val="28"/>
          <w:szCs w:val="28"/>
          <w:rtl/>
          <w:lang w:eastAsia="en-US"/>
        </w:rPr>
        <w:t xml:space="preserve">  זאת לאחר רישום פרטי המציע במערכת.</w:t>
      </w:r>
    </w:p>
    <w:p w:rsidR="00140670" w:rsidRDefault="00140670" w:rsidP="00140670">
      <w:pPr>
        <w:numPr>
          <w:ilvl w:val="0"/>
          <w:numId w:val="1"/>
        </w:numPr>
        <w:spacing w:after="120"/>
        <w:ind w:left="0" w:hanging="720"/>
        <w:jc w:val="both"/>
        <w:rPr>
          <w:rFonts w:cs="David"/>
          <w:sz w:val="28"/>
          <w:szCs w:val="28"/>
        </w:rPr>
      </w:pPr>
      <w:r>
        <w:rPr>
          <w:rFonts w:cs="David" w:hint="cs"/>
          <w:sz w:val="28"/>
          <w:szCs w:val="28"/>
          <w:rtl/>
        </w:rPr>
        <w:t>המכרז הנו לצורך רכישת טובין מסוגים שונים לתפעול חדרי הניתוח כדלקמן:</w:t>
      </w:r>
    </w:p>
    <w:p w:rsidR="00140670" w:rsidRDefault="00140670" w:rsidP="00140670">
      <w:pPr>
        <w:numPr>
          <w:ilvl w:val="2"/>
          <w:numId w:val="1"/>
        </w:numPr>
        <w:spacing w:after="120"/>
        <w:ind w:left="720"/>
        <w:jc w:val="both"/>
        <w:rPr>
          <w:rFonts w:cs="David"/>
          <w:sz w:val="28"/>
          <w:szCs w:val="28"/>
        </w:rPr>
      </w:pPr>
      <w:r>
        <w:rPr>
          <w:rFonts w:cs="David" w:hint="cs"/>
          <w:sz w:val="28"/>
          <w:szCs w:val="28"/>
          <w:rtl/>
        </w:rPr>
        <w:t xml:space="preserve">חדרי ניתוח מתועשים הכוללים את המתחם כולו (לרבות: </w:t>
      </w:r>
      <w:proofErr w:type="spellStart"/>
      <w:r>
        <w:rPr>
          <w:rFonts w:cs="David" w:hint="cs"/>
          <w:sz w:val="28"/>
          <w:szCs w:val="28"/>
          <w:rtl/>
        </w:rPr>
        <w:t>יוניטים</w:t>
      </w:r>
      <w:proofErr w:type="spellEnd"/>
      <w:r>
        <w:rPr>
          <w:rFonts w:cs="David" w:hint="cs"/>
          <w:sz w:val="28"/>
          <w:szCs w:val="28"/>
          <w:rtl/>
        </w:rPr>
        <w:t xml:space="preserve">, מסדרונות, כל אזור </w:t>
      </w:r>
      <w:proofErr w:type="spellStart"/>
      <w:r>
        <w:rPr>
          <w:rFonts w:cs="David" w:hint="cs"/>
          <w:sz w:val="28"/>
          <w:szCs w:val="28"/>
          <w:rtl/>
        </w:rPr>
        <w:t>האס"מ</w:t>
      </w:r>
      <w:proofErr w:type="spellEnd"/>
      <w:r>
        <w:rPr>
          <w:rFonts w:cs="David" w:hint="cs"/>
          <w:sz w:val="28"/>
          <w:szCs w:val="28"/>
          <w:rtl/>
        </w:rPr>
        <w:t xml:space="preserve">   והכל בהתאם לתכניות האדריכליות ולמפרטים הטכניים המצורפים. </w:t>
      </w:r>
    </w:p>
    <w:p w:rsidR="00140670" w:rsidRDefault="00140670" w:rsidP="00140670">
      <w:pPr>
        <w:numPr>
          <w:ilvl w:val="2"/>
          <w:numId w:val="1"/>
        </w:numPr>
        <w:spacing w:after="120"/>
        <w:ind w:left="720"/>
        <w:jc w:val="both"/>
        <w:rPr>
          <w:rFonts w:cs="David"/>
          <w:sz w:val="28"/>
          <w:szCs w:val="28"/>
        </w:rPr>
      </w:pPr>
      <w:r>
        <w:rPr>
          <w:rFonts w:cs="David" w:hint="cs"/>
          <w:sz w:val="28"/>
          <w:szCs w:val="28"/>
          <w:rtl/>
        </w:rPr>
        <w:t>מנורות חדר ניתוח.</w:t>
      </w:r>
    </w:p>
    <w:p w:rsidR="00140670" w:rsidRDefault="00140670" w:rsidP="00140670">
      <w:pPr>
        <w:numPr>
          <w:ilvl w:val="2"/>
          <w:numId w:val="1"/>
        </w:numPr>
        <w:spacing w:after="120"/>
        <w:ind w:left="720"/>
        <w:jc w:val="both"/>
        <w:rPr>
          <w:rFonts w:cs="David"/>
          <w:sz w:val="28"/>
          <w:szCs w:val="28"/>
        </w:rPr>
      </w:pPr>
      <w:r>
        <w:rPr>
          <w:rFonts w:cs="David" w:hint="cs"/>
          <w:sz w:val="28"/>
          <w:szCs w:val="28"/>
          <w:rtl/>
        </w:rPr>
        <w:t>מערכת אינטגרטיבית לשליטה ובקרה לחדרי הניתוח.</w:t>
      </w:r>
    </w:p>
    <w:p w:rsidR="00140670" w:rsidRDefault="00140670" w:rsidP="00140670">
      <w:pPr>
        <w:numPr>
          <w:ilvl w:val="2"/>
          <w:numId w:val="1"/>
        </w:numPr>
        <w:spacing w:after="120"/>
        <w:ind w:left="720"/>
        <w:jc w:val="both"/>
        <w:rPr>
          <w:rFonts w:cs="David"/>
          <w:sz w:val="28"/>
          <w:szCs w:val="28"/>
        </w:rPr>
      </w:pPr>
      <w:r>
        <w:rPr>
          <w:rFonts w:cs="David" w:hint="cs"/>
          <w:sz w:val="28"/>
          <w:szCs w:val="28"/>
          <w:rtl/>
        </w:rPr>
        <w:t>מנשאים עיליים (</w:t>
      </w:r>
      <w:proofErr w:type="spellStart"/>
      <w:r>
        <w:rPr>
          <w:rFonts w:cs="David" w:hint="cs"/>
          <w:sz w:val="28"/>
          <w:szCs w:val="28"/>
          <w:rtl/>
        </w:rPr>
        <w:t>בומים</w:t>
      </w:r>
      <w:proofErr w:type="spellEnd"/>
      <w:r>
        <w:rPr>
          <w:rFonts w:cs="David" w:hint="cs"/>
          <w:sz w:val="28"/>
          <w:szCs w:val="28"/>
          <w:rtl/>
        </w:rPr>
        <w:t>) לחדרי הניתוח ומחלקות טיפול נמרץ כולל ציוד נלווה.</w:t>
      </w:r>
    </w:p>
    <w:p w:rsidR="00140670" w:rsidRDefault="00140670" w:rsidP="00140670">
      <w:pPr>
        <w:numPr>
          <w:ilvl w:val="0"/>
          <w:numId w:val="1"/>
        </w:numPr>
        <w:spacing w:after="120"/>
        <w:ind w:left="0" w:hanging="720"/>
        <w:jc w:val="both"/>
        <w:rPr>
          <w:rFonts w:cs="David"/>
          <w:sz w:val="28"/>
          <w:szCs w:val="28"/>
        </w:rPr>
      </w:pPr>
      <w:r>
        <w:rPr>
          <w:rFonts w:cs="David" w:hint="cs"/>
          <w:sz w:val="28"/>
          <w:szCs w:val="28"/>
          <w:rtl/>
        </w:rPr>
        <w:t xml:space="preserve">תאגיד הבריאות  רשאי לבטל את המכרז, להרחיב או לצמצם את היקף המכרז, בגלל סיבות תקציביות ו/או מנהליות ו/או ארגוניות ו/או כל סיבה אחרת, לפי שיקול דעתו. מובהר, כי תאגיד הבריאות רשאי להזמין את כל הטובין נשוא המכרז או חלקן לפי שיקול דעתו או שלא לרכוש בכלל מהזוכה ציוד כלשהו. כמו כן, מובהר כי המזמין יכול להחליט על התקשרות עם ספק זוכה רק לגבי חדרי הניתוח עצמם, ואת ההחלטה לגבי יתר הציוד המופיע במכרז זה, לקבל החלטה במועד מאוחר יותר ולא יאוחר מ-3 חודשים מההחלטה על ספק זוכה לחדרי הניתוח, אלא אם החליטה המזמין לדחות את ההחלטה לפי שיקול דעתו הבלעדי. מבלי לגרוע מהאמור לעיל, מובהר, כי החלטת המזמין אילו ציודים לרכוש, אם בכלל, תלויה גם בהצעות שקיבל המזמין ו/או מי מטעמו במכרז לבניית חדרי ניתוח שאינם מתועשים והכדאיות הכלכלית בהשוואת ההצעות שם מול ההצעות במכרז דנן. בהגישו את ההצעה המציע מוותר על כל טענה ו/או דרישה ביחס לכך לרבות טענות בדבר הפסד כספי כלשהו.  </w:t>
      </w:r>
    </w:p>
    <w:p w:rsidR="00140670" w:rsidRDefault="00140670" w:rsidP="00140670">
      <w:pPr>
        <w:numPr>
          <w:ilvl w:val="0"/>
          <w:numId w:val="1"/>
        </w:numPr>
        <w:spacing w:after="120"/>
        <w:ind w:left="0" w:hanging="720"/>
        <w:jc w:val="both"/>
        <w:rPr>
          <w:rFonts w:cs="David"/>
          <w:sz w:val="28"/>
          <w:szCs w:val="28"/>
        </w:rPr>
      </w:pPr>
      <w:r>
        <w:rPr>
          <w:rFonts w:cs="David" w:hint="cs"/>
          <w:sz w:val="28"/>
          <w:szCs w:val="28"/>
          <w:rtl/>
        </w:rPr>
        <w:t>תאגיד הבריאות פונה בזאת לקבלת הצעות ממשתתף/ים בעלי ניסיון ויכולת בתחום אספקת הטובין נשוא פניה זו, אשר עונים על כל הקריטריונים כמפורט בפניה זו להלן ומפרט הטכני (נספח ג') ואשר הינם בעלי כל הרישיונות, האישורים, ההיתרים והזכויות הדרושים על פי כל דין, להגיש הצעה בהתאם לתנאים המפורטים במסמכי פניה זו.</w:t>
      </w:r>
    </w:p>
    <w:p w:rsidR="00140670" w:rsidRDefault="00140670" w:rsidP="00140670">
      <w:pPr>
        <w:numPr>
          <w:ilvl w:val="0"/>
          <w:numId w:val="1"/>
        </w:numPr>
        <w:spacing w:after="120"/>
        <w:ind w:left="0" w:hanging="720"/>
        <w:jc w:val="both"/>
        <w:rPr>
          <w:rFonts w:cs="David"/>
          <w:sz w:val="28"/>
          <w:szCs w:val="28"/>
        </w:rPr>
      </w:pPr>
      <w:r>
        <w:rPr>
          <w:rFonts w:cs="David" w:hint="cs"/>
          <w:sz w:val="28"/>
          <w:szCs w:val="28"/>
          <w:rtl/>
        </w:rPr>
        <w:t>לפניה זו מצורפים המסמכים הבאים, המהווים יחד עם פניה זו, את מסמכי הפניה לקבלת הצעות (להלן: "הפניה").</w:t>
      </w:r>
    </w:p>
    <w:p w:rsidR="00140670" w:rsidRDefault="00140670" w:rsidP="00140670">
      <w:pPr>
        <w:pStyle w:val="ListParagraph"/>
        <w:spacing w:after="120"/>
        <w:rPr>
          <w:rFonts w:cs="David"/>
          <w:sz w:val="28"/>
          <w:szCs w:val="28"/>
        </w:rPr>
      </w:pPr>
    </w:p>
    <w:p w:rsidR="00140670" w:rsidRDefault="00140670" w:rsidP="00140670">
      <w:pPr>
        <w:spacing w:after="120"/>
        <w:jc w:val="both"/>
        <w:rPr>
          <w:rFonts w:cs="David" w:hint="cs"/>
          <w:sz w:val="28"/>
          <w:szCs w:val="28"/>
          <w:rtl/>
        </w:rPr>
      </w:pPr>
    </w:p>
    <w:p w:rsidR="00140670" w:rsidRDefault="00140670" w:rsidP="00140670">
      <w:pPr>
        <w:spacing w:after="120"/>
        <w:jc w:val="both"/>
        <w:rPr>
          <w:rFonts w:cs="David"/>
          <w:sz w:val="28"/>
          <w:szCs w:val="28"/>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5736"/>
      </w:tblGrid>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sz w:val="28"/>
                <w:szCs w:val="28"/>
              </w:rPr>
            </w:pPr>
            <w:r>
              <w:rPr>
                <w:rFonts w:cs="David" w:hint="cs"/>
                <w:sz w:val="28"/>
                <w:szCs w:val="28"/>
                <w:rtl/>
              </w:rPr>
              <w:t>נספח א'</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מהות ההתקשרות ותנאיה</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ב'</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תנאי שרות</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ג'1</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מפרט טכני מיוחד לחדרי ניתוח (מבנים 4 ו-5 בכ"כ).</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נספח ג'2 </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מפרט טכני מיוחד למערכת אינטגרטיבית לבקרה ושליטה (מבנה 6 אי בכ"כ)</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ג'3</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מפרט טכני מיוחד </w:t>
            </w:r>
            <w:proofErr w:type="spellStart"/>
            <w:r>
              <w:rPr>
                <w:rFonts w:cs="David" w:hint="cs"/>
                <w:sz w:val="28"/>
                <w:szCs w:val="28"/>
                <w:rtl/>
              </w:rPr>
              <w:t>לבומים</w:t>
            </w:r>
            <w:proofErr w:type="spellEnd"/>
            <w:r>
              <w:rPr>
                <w:rFonts w:cs="David" w:hint="cs"/>
                <w:sz w:val="28"/>
                <w:szCs w:val="28"/>
                <w:rtl/>
              </w:rPr>
              <w:t xml:space="preserve"> (מבנה 6 בי בכ"כ).</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נספח ג' 4 </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מפרט טכני מיוחד למנורות ניתוח (מבנה 6 סי בכ"כ)</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נספח ג' 5 </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תנאים כלליים </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ד'</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כתב כמויות (יש להגיש במעטפה סגורה)</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ה'</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תשקיף משתתף</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rPr>
                <w:rFonts w:cs="David" w:hint="cs"/>
                <w:sz w:val="28"/>
                <w:szCs w:val="28"/>
                <w:rtl/>
              </w:rPr>
            </w:pPr>
            <w:r>
              <w:rPr>
                <w:rFonts w:cs="David" w:hint="cs"/>
                <w:sz w:val="28"/>
                <w:szCs w:val="28"/>
                <w:rtl/>
              </w:rPr>
              <w:t>נספח ו</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נוסח התחייבות יצרן</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ז'</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הסכם התקשרות</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ח'</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טבלת עמידה בתנאי סף סעיף 12.1.1</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ט1'</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טבלת עמידה בתנאי סף סעיף 12.1.2</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ט'2</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טבלת עמידה בתנאי סף סעיף 12.1.3</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י'</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טבלת עמידה בתנאי סף סעיף 12.1.4</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rPr>
                <w:rFonts w:cs="David" w:hint="cs"/>
                <w:sz w:val="28"/>
                <w:szCs w:val="28"/>
                <w:rtl/>
              </w:rPr>
            </w:pPr>
            <w:r>
              <w:rPr>
                <w:rFonts w:cs="David" w:hint="cs"/>
                <w:sz w:val="28"/>
                <w:szCs w:val="28"/>
                <w:rtl/>
              </w:rPr>
              <w:t>נספח י"א</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rPr>
                <w:rFonts w:cs="David" w:hint="cs"/>
                <w:sz w:val="28"/>
                <w:szCs w:val="28"/>
                <w:rtl/>
              </w:rPr>
            </w:pPr>
            <w:r>
              <w:rPr>
                <w:rFonts w:cs="David" w:hint="cs"/>
                <w:sz w:val="28"/>
                <w:szCs w:val="28"/>
                <w:rtl/>
              </w:rPr>
              <w:t xml:space="preserve">אישור רואה חשבון </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י"ב</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נוסח ערבות מכרז</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י"ג</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טופס בקשה להעברת כספים</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נספח י"ד </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התחייבות לשמירת סודיות </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ט"ו</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תצהיר לעניין עמידה בתנאים הדרושים לפי חוק עסקאות גופים ציבוריים</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ט"ז</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אבטחת מידע</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י"ז</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הצהרה בדבר אי תשלום דמי תיווך</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נספח י"ח</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תצהיר המציע בדבר אי תיאום הצעות במכרז</w:t>
            </w:r>
          </w:p>
        </w:tc>
      </w:tr>
      <w:tr w:rsidR="00140670" w:rsidTr="00140670">
        <w:tc>
          <w:tcPr>
            <w:tcW w:w="1888"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r>
              <w:rPr>
                <w:rFonts w:cs="David" w:hint="cs"/>
                <w:sz w:val="28"/>
                <w:szCs w:val="28"/>
                <w:rtl/>
              </w:rPr>
              <w:t xml:space="preserve">נספח י"ט </w:t>
            </w:r>
          </w:p>
        </w:tc>
        <w:tc>
          <w:tcPr>
            <w:tcW w:w="5920" w:type="dxa"/>
            <w:tcBorders>
              <w:top w:val="single" w:sz="4" w:space="0" w:color="auto"/>
              <w:left w:val="single" w:sz="4" w:space="0" w:color="auto"/>
              <w:bottom w:val="single" w:sz="4" w:space="0" w:color="auto"/>
              <w:right w:val="single" w:sz="4" w:space="0" w:color="auto"/>
            </w:tcBorders>
            <w:hideMark/>
          </w:tcPr>
          <w:p w:rsidR="00140670" w:rsidRDefault="00140670">
            <w:pPr>
              <w:spacing w:after="120"/>
              <w:jc w:val="both"/>
              <w:rPr>
                <w:rFonts w:cs="David" w:hint="cs"/>
                <w:sz w:val="28"/>
                <w:szCs w:val="28"/>
                <w:rtl/>
              </w:rPr>
            </w:pPr>
            <w:proofErr w:type="spellStart"/>
            <w:r>
              <w:rPr>
                <w:rFonts w:cs="David" w:hint="cs"/>
                <w:sz w:val="28"/>
                <w:szCs w:val="28"/>
                <w:rtl/>
              </w:rPr>
              <w:t>תוכניות</w:t>
            </w:r>
            <w:proofErr w:type="spellEnd"/>
            <w:r>
              <w:rPr>
                <w:rFonts w:cs="David" w:hint="cs"/>
                <w:sz w:val="28"/>
                <w:szCs w:val="28"/>
                <w:rtl/>
              </w:rPr>
              <w:t xml:space="preserve"> אדריכליות </w:t>
            </w:r>
          </w:p>
        </w:tc>
      </w:tr>
    </w:tbl>
    <w:p w:rsidR="00140670" w:rsidRDefault="00140670" w:rsidP="00140670">
      <w:pPr>
        <w:spacing w:after="120"/>
        <w:jc w:val="both"/>
        <w:rPr>
          <w:rFonts w:cs="David" w:hint="cs"/>
          <w:sz w:val="28"/>
          <w:szCs w:val="28"/>
          <w:rtl/>
        </w:rPr>
      </w:pPr>
    </w:p>
    <w:p w:rsidR="00140670" w:rsidRDefault="00140670" w:rsidP="00140670">
      <w:pPr>
        <w:bidi w:val="0"/>
        <w:jc w:val="right"/>
        <w:rPr>
          <w:rFonts w:ascii="Arial" w:hAnsi="Arial" w:cs="Arial" w:hint="cs"/>
          <w:sz w:val="22"/>
          <w:szCs w:val="22"/>
          <w:rtl/>
          <w:lang w:eastAsia="en-US"/>
        </w:rPr>
      </w:pPr>
    </w:p>
    <w:p w:rsidR="00140670" w:rsidRDefault="00140670" w:rsidP="00140670">
      <w:pPr>
        <w:spacing w:after="120"/>
        <w:ind w:left="720"/>
        <w:jc w:val="both"/>
        <w:rPr>
          <w:rFonts w:cs="David"/>
          <w:sz w:val="28"/>
          <w:szCs w:val="28"/>
        </w:rPr>
      </w:pPr>
      <w:r>
        <w:rPr>
          <w:rFonts w:cs="David" w:hint="cs"/>
          <w:sz w:val="28"/>
          <w:szCs w:val="28"/>
          <w:rtl/>
        </w:rPr>
        <w:t>מסמכים אלו הנם מסמכי יסוד ומילוי תנאיהם מהווה תנאי יסוד להשתתפות בפניה. אי מילוי תנאי ו/או אי צירוף מסמך כלשהו בכל אחד ממסמכי ו/או סעיפי הפניה ו/או עריכת שינוי/ תוספת/ הערה/ הסתייגות/ ו/או מענה לקוי ו/או חלקי ו/או שאינו ברור דיו ו/או העדר חתימה על מסמך כלשהו ממסמכי הפניה עלול לגרום לאי הבאת ההצעה לדיון ו/או לפסילתה ו/או לאי בחירתה והכל על פי שיקול דעת תאגיד הבריאות.</w:t>
      </w:r>
    </w:p>
    <w:p w:rsidR="00140670" w:rsidRDefault="00140670" w:rsidP="00140670">
      <w:pPr>
        <w:spacing w:after="120"/>
        <w:ind w:firstLine="720"/>
        <w:jc w:val="both"/>
        <w:rPr>
          <w:rFonts w:cs="David" w:hint="cs"/>
          <w:sz w:val="28"/>
          <w:szCs w:val="28"/>
          <w:rtl/>
        </w:rPr>
      </w:pPr>
      <w:r>
        <w:rPr>
          <w:rFonts w:cs="David" w:hint="cs"/>
          <w:sz w:val="28"/>
          <w:szCs w:val="28"/>
          <w:rtl/>
        </w:rPr>
        <w:lastRenderedPageBreak/>
        <w:t>על משתתף לעמוד בתנאי הסף המפורטים במסמכי הפניה</w:t>
      </w:r>
    </w:p>
    <w:p w:rsidR="00140670" w:rsidRDefault="00140670" w:rsidP="00140670">
      <w:pPr>
        <w:spacing w:after="120"/>
        <w:ind w:firstLine="720"/>
        <w:jc w:val="both"/>
        <w:rPr>
          <w:rFonts w:cs="David" w:hint="cs"/>
          <w:sz w:val="28"/>
          <w:szCs w:val="28"/>
          <w:rtl/>
        </w:rPr>
      </w:pPr>
    </w:p>
    <w:p w:rsidR="00140670" w:rsidRPr="003508E5" w:rsidRDefault="00140670" w:rsidP="00140670">
      <w:pPr>
        <w:numPr>
          <w:ilvl w:val="0"/>
          <w:numId w:val="1"/>
        </w:numPr>
        <w:spacing w:after="120"/>
        <w:ind w:hanging="720"/>
        <w:jc w:val="both"/>
        <w:rPr>
          <w:rFonts w:cs="David"/>
          <w:b/>
          <w:bCs/>
          <w:sz w:val="28"/>
          <w:szCs w:val="28"/>
          <w:u w:val="single"/>
        </w:rPr>
      </w:pPr>
      <w:bookmarkStart w:id="0" w:name="_GoBack"/>
      <w:r w:rsidRPr="003508E5">
        <w:rPr>
          <w:rFonts w:cs="David" w:hint="cs"/>
          <w:b/>
          <w:bCs/>
          <w:sz w:val="28"/>
          <w:szCs w:val="28"/>
          <w:u w:val="single"/>
          <w:rtl/>
        </w:rPr>
        <w:t>אופן הגשת ההצעה:</w:t>
      </w:r>
    </w:p>
    <w:bookmarkEnd w:id="0"/>
    <w:p w:rsidR="00140670" w:rsidRDefault="00140670" w:rsidP="00140670">
      <w:pPr>
        <w:overflowPunct w:val="0"/>
        <w:autoSpaceDE w:val="0"/>
        <w:autoSpaceDN w:val="0"/>
        <w:adjustRightInd w:val="0"/>
        <w:spacing w:line="240" w:lineRule="atLeast"/>
        <w:ind w:left="360"/>
        <w:textAlignment w:val="baseline"/>
        <w:rPr>
          <w:rFonts w:asciiTheme="minorBidi" w:hAnsiTheme="minorBidi" w:cstheme="minorBidi"/>
          <w:lang w:eastAsia="en-US"/>
        </w:rPr>
      </w:pPr>
      <w:r>
        <w:rPr>
          <w:rFonts w:cs="David" w:hint="cs"/>
          <w:sz w:val="28"/>
          <w:szCs w:val="28"/>
          <w:rtl/>
        </w:rPr>
        <w:tab/>
        <w:t xml:space="preserve">7.1 </w:t>
      </w:r>
      <w:r>
        <w:rPr>
          <w:rFonts w:asciiTheme="minorBidi" w:eastAsia="Calibri" w:hAnsiTheme="minorBidi" w:cstheme="minorBidi"/>
          <w:rtl/>
          <w:lang w:eastAsia="en-US"/>
        </w:rPr>
        <w:t xml:space="preserve">המועד האחרון להכנסת ההצעות לתיבת המכרזים </w:t>
      </w:r>
      <w:r>
        <w:rPr>
          <w:rFonts w:asciiTheme="minorBidi" w:eastAsia="Calibri" w:hAnsiTheme="minorBidi" w:cstheme="minorBidi"/>
          <w:b/>
          <w:bCs/>
          <w:rtl/>
          <w:lang w:eastAsia="en-US"/>
        </w:rPr>
        <w:t xml:space="preserve">האלקטרונית בלבד </w:t>
      </w:r>
      <w:r>
        <w:rPr>
          <w:rFonts w:asciiTheme="minorBidi" w:eastAsia="Calibri" w:hAnsiTheme="minorBidi" w:cstheme="minorBidi"/>
          <w:rtl/>
          <w:lang w:eastAsia="en-US"/>
        </w:rPr>
        <w:t>נקבע ל- 21.2.2021</w:t>
      </w:r>
      <w:r>
        <w:rPr>
          <w:rFonts w:asciiTheme="minorBidi" w:eastAsia="Calibri" w:hAnsiTheme="minorBidi" w:cstheme="minorBidi"/>
          <w:lang w:eastAsia="en-US"/>
        </w:rPr>
        <w:tab/>
      </w:r>
      <w:r>
        <w:rPr>
          <w:rFonts w:asciiTheme="minorBidi" w:eastAsia="Calibri" w:hAnsiTheme="minorBidi" w:cstheme="minorBidi"/>
          <w:rtl/>
          <w:lang w:eastAsia="en-US"/>
        </w:rPr>
        <w:t xml:space="preserve"> בשעה 12:00.</w:t>
      </w:r>
    </w:p>
    <w:p w:rsidR="00140670" w:rsidRDefault="00140670" w:rsidP="00140670">
      <w:pPr>
        <w:pStyle w:val="ListParagraph"/>
        <w:ind w:left="1440"/>
        <w:contextualSpacing/>
        <w:jc w:val="both"/>
        <w:rPr>
          <w:rFonts w:asciiTheme="minorBidi" w:hAnsiTheme="minorBidi"/>
          <w:lang w:eastAsia="zh-CN"/>
        </w:rPr>
      </w:pPr>
      <w:r>
        <w:rPr>
          <w:rFonts w:asciiTheme="minorBidi" w:hAnsiTheme="minorBidi"/>
          <w:rtl/>
        </w:rPr>
        <w:t xml:space="preserve">את ההצעה בצירוף כל מסמכי המכרז חתומים בחתימה ידנית וסרוקים, יגיש המציע    לתיבת מכרזים </w:t>
      </w:r>
      <w:r>
        <w:rPr>
          <w:rFonts w:asciiTheme="minorBidi" w:hAnsiTheme="minorBidi"/>
          <w:b/>
          <w:bCs/>
          <w:rtl/>
        </w:rPr>
        <w:t>אלקטרונית</w:t>
      </w:r>
      <w:r>
        <w:rPr>
          <w:rFonts w:asciiTheme="minorBidi" w:hAnsiTheme="minorBidi"/>
          <w:rtl/>
        </w:rPr>
        <w:t xml:space="preserve"> במערכת </w:t>
      </w:r>
      <w:proofErr w:type="spellStart"/>
      <w:r>
        <w:rPr>
          <w:rFonts w:asciiTheme="minorBidi" w:hAnsiTheme="minorBidi"/>
        </w:rPr>
        <w:t>sourcingvision</w:t>
      </w:r>
      <w:proofErr w:type="spellEnd"/>
      <w:r>
        <w:rPr>
          <w:rFonts w:asciiTheme="minorBidi" w:hAnsiTheme="minorBidi"/>
          <w:rtl/>
        </w:rPr>
        <w:t xml:space="preserve"> </w:t>
      </w:r>
      <w:r>
        <w:rPr>
          <w:rFonts w:asciiTheme="minorBidi" w:hAnsiTheme="minorBidi" w:hint="cs"/>
          <w:b/>
          <w:bCs/>
          <w:rtl/>
        </w:rPr>
        <w:t>בלבד</w:t>
      </w:r>
      <w:r>
        <w:rPr>
          <w:rFonts w:asciiTheme="minorBidi" w:hAnsiTheme="minorBidi" w:hint="cs"/>
          <w:rtl/>
        </w:rPr>
        <w:t xml:space="preserve"> עד ליום 21.2.21 בשעה   12:00 </w:t>
      </w:r>
      <w:r>
        <w:rPr>
          <w:rFonts w:asciiTheme="minorBidi" w:hAnsiTheme="minorBidi"/>
          <w:rtl/>
          <w:lang w:eastAsia="en-US"/>
        </w:rPr>
        <w:t xml:space="preserve">המציע יצרף להצעתו אישור עורך דין, כי החתומים על מסמכי ההצעה רשאים לחייב את </w:t>
      </w:r>
      <w:r>
        <w:rPr>
          <w:rFonts w:asciiTheme="minorBidi" w:hAnsiTheme="minorBidi"/>
          <w:rtl/>
          <w:lang w:eastAsia="en-US"/>
        </w:rPr>
        <w:tab/>
        <w:t>המציע.</w:t>
      </w:r>
    </w:p>
    <w:p w:rsidR="00140670" w:rsidRDefault="00140670" w:rsidP="00140670">
      <w:pPr>
        <w:pStyle w:val="ListParagraph"/>
        <w:ind w:left="1440"/>
        <w:contextualSpacing/>
        <w:jc w:val="both"/>
        <w:rPr>
          <w:rFonts w:asciiTheme="minorBidi" w:hAnsiTheme="minorBidi"/>
          <w:rtl/>
          <w:lang w:eastAsia="zh-CN"/>
        </w:rPr>
      </w:pPr>
    </w:p>
    <w:p w:rsidR="00140670" w:rsidRDefault="00140670" w:rsidP="00140670">
      <w:pPr>
        <w:pStyle w:val="ListParagraph"/>
        <w:ind w:left="1440"/>
        <w:contextualSpacing/>
        <w:jc w:val="both"/>
        <w:rPr>
          <w:rFonts w:asciiTheme="minorBidi" w:hAnsiTheme="minorBidi"/>
          <w:rtl/>
        </w:rPr>
      </w:pPr>
      <w:r>
        <w:rPr>
          <w:rFonts w:asciiTheme="minorBidi" w:hAnsiTheme="minorBidi"/>
          <w:rtl/>
        </w:rPr>
        <w:t xml:space="preserve">לתמיכה טכנית התקשרו לטלפון: 050-9029376 או לדוא"ל </w:t>
      </w:r>
      <w:hyperlink r:id="rId6" w:history="1">
        <w:r>
          <w:rPr>
            <w:rStyle w:val="Hyperlink"/>
            <w:rFonts w:asciiTheme="minorBidi" w:hAnsiTheme="minorBidi"/>
          </w:rPr>
          <w:t>service@mashiktech.com</w:t>
        </w:r>
      </w:hyperlink>
      <w:r>
        <w:rPr>
          <w:rFonts w:asciiTheme="minorBidi" w:hAnsiTheme="minorBidi"/>
          <w:rtl/>
        </w:rPr>
        <w:t xml:space="preserve">  בימים א'-ה' בין השעות 8:00-17:00</w:t>
      </w:r>
    </w:p>
    <w:p w:rsidR="00140670" w:rsidRDefault="00140670" w:rsidP="00140670">
      <w:pPr>
        <w:pStyle w:val="ListParagraph"/>
        <w:ind w:left="1440"/>
        <w:contextualSpacing/>
        <w:jc w:val="both"/>
        <w:rPr>
          <w:rFonts w:asciiTheme="minorBidi" w:hAnsiTheme="minorBidi"/>
          <w:rtl/>
        </w:rPr>
      </w:pPr>
    </w:p>
    <w:p w:rsidR="00140670" w:rsidRDefault="00140670" w:rsidP="00140670">
      <w:pPr>
        <w:spacing w:after="120"/>
        <w:ind w:left="720"/>
        <w:jc w:val="both"/>
        <w:rPr>
          <w:rFonts w:cs="David"/>
          <w:sz w:val="28"/>
          <w:szCs w:val="28"/>
          <w:u w:val="single"/>
          <w:rtl/>
        </w:rPr>
      </w:pPr>
    </w:p>
    <w:p w:rsidR="00140670" w:rsidRDefault="00140670" w:rsidP="00140670">
      <w:pPr>
        <w:pStyle w:val="ListParagraph"/>
        <w:numPr>
          <w:ilvl w:val="1"/>
          <w:numId w:val="2"/>
        </w:numPr>
        <w:spacing w:after="120"/>
        <w:jc w:val="both"/>
        <w:rPr>
          <w:rFonts w:cs="David"/>
          <w:sz w:val="28"/>
          <w:szCs w:val="28"/>
        </w:rPr>
      </w:pPr>
      <w:r>
        <w:rPr>
          <w:rFonts w:cs="David" w:hint="cs"/>
          <w:sz w:val="28"/>
          <w:szCs w:val="28"/>
          <w:rtl/>
        </w:rPr>
        <w:t xml:space="preserve"> </w:t>
      </w:r>
      <w:r>
        <w:rPr>
          <w:rFonts w:cs="David" w:hint="cs"/>
          <w:sz w:val="28"/>
          <w:szCs w:val="28"/>
          <w:rtl/>
        </w:rPr>
        <w:tab/>
        <w:t xml:space="preserve">התאגיד יהיה רשאי לפסול על פי שיקול דעתה הצעות שלא יהיו </w:t>
      </w:r>
      <w:r>
        <w:rPr>
          <w:rFonts w:cs="David" w:hint="cs"/>
          <w:sz w:val="28"/>
          <w:szCs w:val="28"/>
          <w:rtl/>
        </w:rPr>
        <w:tab/>
        <w:t xml:space="preserve">בהתאם למפרט שבמסמכי הפניה ו/או שתצורף להן הסתייגויות </w:t>
      </w:r>
      <w:r>
        <w:rPr>
          <w:rFonts w:cs="David" w:hint="cs"/>
          <w:sz w:val="28"/>
          <w:szCs w:val="28"/>
          <w:rtl/>
        </w:rPr>
        <w:tab/>
        <w:t>עקרונית או אחרת ו/או שינוי יסודי או אחר כלשהו.</w:t>
      </w:r>
    </w:p>
    <w:p w:rsidR="00140670" w:rsidRDefault="00140670" w:rsidP="00140670">
      <w:pPr>
        <w:numPr>
          <w:ilvl w:val="1"/>
          <w:numId w:val="2"/>
        </w:numPr>
        <w:spacing w:after="120"/>
        <w:ind w:left="1440" w:hanging="720"/>
        <w:jc w:val="both"/>
        <w:rPr>
          <w:rFonts w:cs="David"/>
          <w:sz w:val="28"/>
          <w:szCs w:val="28"/>
        </w:rPr>
      </w:pPr>
      <w:r>
        <w:rPr>
          <w:rFonts w:cs="David" w:hint="cs"/>
          <w:sz w:val="28"/>
          <w:szCs w:val="28"/>
          <w:rtl/>
        </w:rPr>
        <w:t>התאגיד ו/או מי מטעמו לא יישאו בכל האחריות לנזק, הפסד ו/או הוצאה שייגרמו בקשר עם העדר בדיקת המשתתף כי מסמכי הפניה מולאו על ידו כנדרש ו/או נבדקו על ידו קודם להגשת הצעתו.</w:t>
      </w:r>
    </w:p>
    <w:p w:rsidR="00140670" w:rsidRDefault="00140670" w:rsidP="00140670">
      <w:pPr>
        <w:spacing w:after="120"/>
        <w:jc w:val="both"/>
        <w:rPr>
          <w:rFonts w:cs="David"/>
          <w:sz w:val="28"/>
          <w:szCs w:val="28"/>
        </w:rPr>
      </w:pPr>
    </w:p>
    <w:p w:rsidR="00140670" w:rsidRDefault="00140670" w:rsidP="00140670">
      <w:pPr>
        <w:numPr>
          <w:ilvl w:val="0"/>
          <w:numId w:val="2"/>
        </w:numPr>
        <w:spacing w:after="120"/>
        <w:ind w:hanging="720"/>
        <w:jc w:val="both"/>
        <w:rPr>
          <w:rFonts w:cs="David"/>
          <w:b/>
          <w:bCs/>
          <w:sz w:val="28"/>
          <w:szCs w:val="28"/>
          <w:u w:val="single"/>
        </w:rPr>
      </w:pPr>
      <w:r>
        <w:rPr>
          <w:rFonts w:cs="David" w:hint="cs"/>
          <w:b/>
          <w:bCs/>
          <w:sz w:val="28"/>
          <w:szCs w:val="28"/>
          <w:u w:val="single"/>
          <w:rtl/>
        </w:rPr>
        <w:t>המועד האחרון להגשת הצעות</w:t>
      </w:r>
    </w:p>
    <w:p w:rsidR="00140670" w:rsidRDefault="00140670" w:rsidP="00140670">
      <w:pPr>
        <w:numPr>
          <w:ilvl w:val="1"/>
          <w:numId w:val="2"/>
        </w:numPr>
        <w:spacing w:after="120"/>
        <w:ind w:left="1440" w:hanging="720"/>
        <w:jc w:val="both"/>
        <w:rPr>
          <w:rFonts w:cs="David"/>
          <w:sz w:val="28"/>
          <w:szCs w:val="28"/>
        </w:rPr>
      </w:pPr>
      <w:r>
        <w:rPr>
          <w:rFonts w:asciiTheme="minorBidi" w:eastAsia="Calibri" w:hAnsiTheme="minorBidi" w:cs="David" w:hint="cs"/>
          <w:sz w:val="28"/>
          <w:szCs w:val="28"/>
          <w:rtl/>
          <w:lang w:eastAsia="en-US"/>
        </w:rPr>
        <w:t xml:space="preserve">המועד האחרון להכנסת ההצעות לתיבת המכרזים </w:t>
      </w:r>
      <w:r>
        <w:rPr>
          <w:rFonts w:asciiTheme="minorBidi" w:eastAsia="Calibri" w:hAnsiTheme="minorBidi" w:cs="David" w:hint="cs"/>
          <w:b/>
          <w:bCs/>
          <w:sz w:val="28"/>
          <w:szCs w:val="28"/>
          <w:rtl/>
          <w:lang w:eastAsia="en-US"/>
        </w:rPr>
        <w:t xml:space="preserve">האלקטרונית בלבד </w:t>
      </w:r>
      <w:r>
        <w:rPr>
          <w:rFonts w:asciiTheme="minorBidi" w:eastAsia="Calibri" w:hAnsiTheme="minorBidi" w:cs="David" w:hint="cs"/>
          <w:sz w:val="28"/>
          <w:szCs w:val="28"/>
          <w:rtl/>
          <w:lang w:eastAsia="en-US"/>
        </w:rPr>
        <w:t>נקבע ל</w:t>
      </w:r>
      <w:r>
        <w:rPr>
          <w:rFonts w:cs="David" w:hint="cs"/>
          <w:sz w:val="28"/>
          <w:szCs w:val="28"/>
          <w:rtl/>
        </w:rPr>
        <w:t xml:space="preserve"> 21.2.21 שעה 12:00 (להלן: "המועד האחרון להגשת הצעות").</w:t>
      </w:r>
    </w:p>
    <w:p w:rsidR="009A3E3A" w:rsidRPr="00140670" w:rsidRDefault="009A3E3A">
      <w:pPr>
        <w:rPr>
          <w:rFonts w:hint="cs"/>
        </w:rPr>
      </w:pPr>
    </w:p>
    <w:sectPr w:rsidR="009A3E3A" w:rsidRPr="00140670"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EE9"/>
    <w:multiLevelType w:val="multilevel"/>
    <w:tmpl w:val="246A7BA6"/>
    <w:lvl w:ilvl="0">
      <w:start w:val="1"/>
      <w:numFmt w:val="decimal"/>
      <w:lvlText w:val="%1."/>
      <w:lvlJc w:val="left"/>
      <w:pPr>
        <w:ind w:left="720" w:hanging="360"/>
      </w:pPr>
      <w:rPr>
        <w:b w:val="0"/>
        <w:bCs w:val="0"/>
      </w:rPr>
    </w:lvl>
    <w:lvl w:ilvl="1">
      <w:start w:val="1"/>
      <w:numFmt w:val="decimal"/>
      <w:isLgl/>
      <w:lvlText w:val="%1.%2"/>
      <w:lvlJc w:val="left"/>
      <w:pPr>
        <w:ind w:left="1104" w:hanging="384"/>
      </w:pPr>
      <w:rPr>
        <w:b w:val="0"/>
        <w:bCs w:val="0"/>
        <w:lang w:bidi="he-IL"/>
      </w:rPr>
    </w:lvl>
    <w:lvl w:ilvl="2">
      <w:start w:val="1"/>
      <w:numFmt w:val="decimal"/>
      <w:isLgl/>
      <w:lvlText w:val="%1.%2.%3"/>
      <w:lvlJc w:val="left"/>
      <w:pPr>
        <w:ind w:left="1854" w:hanging="720"/>
      </w:pPr>
      <w:rPr>
        <w:lang w:val="en-US"/>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168E7EFB"/>
    <w:multiLevelType w:val="multilevel"/>
    <w:tmpl w:val="621645EC"/>
    <w:lvl w:ilvl="0">
      <w:start w:val="7"/>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0"/>
    <w:rsid w:val="00140670"/>
    <w:rsid w:val="003508E5"/>
    <w:rsid w:val="00484587"/>
    <w:rsid w:val="009A3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6DBCB-3487-4406-B12E-E967D613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70"/>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0670"/>
    <w:rPr>
      <w:color w:val="0563C1"/>
      <w:u w:val="single"/>
    </w:rPr>
  </w:style>
  <w:style w:type="character" w:customStyle="1" w:styleId="ListParagraphChar">
    <w:name w:val="List Paragraph Char"/>
    <w:aliases w:val="LP1 Char,Table Char,מפרט פירוט סעיפים Char,נספח 2 מתוקן Char,פסקה רגילה Char"/>
    <w:link w:val="ListParagraph"/>
    <w:uiPriority w:val="34"/>
    <w:locked/>
    <w:rsid w:val="00140670"/>
    <w:rPr>
      <w:sz w:val="24"/>
      <w:szCs w:val="24"/>
      <w:lang w:eastAsia="he-IL"/>
    </w:rPr>
  </w:style>
  <w:style w:type="paragraph" w:styleId="ListParagraph">
    <w:name w:val="List Paragraph"/>
    <w:aliases w:val="LP1,Table,מפרט פירוט סעיפים,נספח 2 מתוקן,פסקה רגילה"/>
    <w:basedOn w:val="Normal"/>
    <w:link w:val="ListParagraphChar"/>
    <w:uiPriority w:val="34"/>
    <w:qFormat/>
    <w:rsid w:val="00140670"/>
    <w:pPr>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mashiktech.com" TargetMode="External"/><Relationship Id="rId11" Type="http://schemas.openxmlformats.org/officeDocument/2006/relationships/customXml" Target="../customXml/item3.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F7BC6-43C0-470F-AA1E-61FBEF5EF512}"/>
</file>

<file path=customXml/itemProps2.xml><?xml version="1.0" encoding="utf-8"?>
<ds:datastoreItem xmlns:ds="http://schemas.openxmlformats.org/officeDocument/2006/customXml" ds:itemID="{E25BDD14-37B1-44B5-BB4C-DF64DBB883EA}"/>
</file>

<file path=customXml/itemProps3.xml><?xml version="1.0" encoding="utf-8"?>
<ds:datastoreItem xmlns:ds="http://schemas.openxmlformats.org/officeDocument/2006/customXml" ds:itemID="{6BD4882A-883E-4433-A993-42C30DC4A749}"/>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2021-01-17T07:12:00Z</dcterms:created>
  <dcterms:modified xsi:type="dcterms:W3CDTF">2021-01-17T07:20:00Z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